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68"/>
        <w:gridCol w:w="2539"/>
        <w:gridCol w:w="2615"/>
        <w:gridCol w:w="2539"/>
      </w:tblGrid>
      <w:tr w:rsidR="004C6937" w:rsidRPr="00224053" w14:paraId="278C582E" w14:textId="77777777" w:rsidTr="00EB0D38">
        <w:trPr>
          <w:trHeight w:val="1408"/>
        </w:trPr>
        <w:tc>
          <w:tcPr>
            <w:tcW w:w="2552" w:type="dxa"/>
            <w:vAlign w:val="center"/>
          </w:tcPr>
          <w:p w14:paraId="3336C91F" w14:textId="77777777" w:rsidR="004C6937" w:rsidRPr="00E65028" w:rsidRDefault="004C6937" w:rsidP="00EB0D38">
            <w:pPr>
              <w:pStyle w:val="AralkYok"/>
              <w:jc w:val="center"/>
              <w:rPr>
                <w:b w:val="0"/>
                <w:sz w:val="72"/>
                <w:szCs w:val="72"/>
              </w:rPr>
            </w:pPr>
            <w:r w:rsidRPr="00E65028">
              <w:rPr>
                <w:noProof/>
                <w:sz w:val="72"/>
                <w:szCs w:val="72"/>
                <w:lang w:eastAsia="tr-TR"/>
              </w:rPr>
              <w:drawing>
                <wp:inline distT="0" distB="0" distL="0" distR="0" wp14:anchorId="3542EB31" wp14:editId="6345895F">
                  <wp:extent cx="962025" cy="716280"/>
                  <wp:effectExtent l="0" t="0" r="0" b="0"/>
                  <wp:docPr id="1" name="Resim 1" descr="dsi_logo_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dsi_logo_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1" w:type="dxa"/>
            <w:gridSpan w:val="4"/>
            <w:vAlign w:val="center"/>
          </w:tcPr>
          <w:p w14:paraId="57CE7C88" w14:textId="77777777" w:rsidR="004C6937" w:rsidRPr="00090733" w:rsidRDefault="004C6937" w:rsidP="00851138">
            <w:pPr>
              <w:pStyle w:val="AralkYok"/>
              <w:jc w:val="left"/>
              <w:rPr>
                <w:b w:val="0"/>
                <w:sz w:val="28"/>
                <w:szCs w:val="28"/>
              </w:rPr>
            </w:pPr>
            <w:r w:rsidRPr="00090733">
              <w:rPr>
                <w:b w:val="0"/>
                <w:sz w:val="28"/>
                <w:szCs w:val="28"/>
              </w:rPr>
              <w:t>DSİ Laboratuvarları</w:t>
            </w:r>
          </w:p>
        </w:tc>
      </w:tr>
      <w:tr w:rsidR="004C6937" w:rsidRPr="00224053" w14:paraId="7AFF263B" w14:textId="77777777" w:rsidTr="00851138">
        <w:trPr>
          <w:trHeight w:val="10959"/>
        </w:trPr>
        <w:tc>
          <w:tcPr>
            <w:tcW w:w="10313" w:type="dxa"/>
            <w:gridSpan w:val="5"/>
          </w:tcPr>
          <w:p w14:paraId="4E1FB055" w14:textId="77777777" w:rsidR="004C6937" w:rsidRDefault="004C6937" w:rsidP="00851138">
            <w:pPr>
              <w:spacing w:after="240"/>
            </w:pPr>
          </w:p>
          <w:p w14:paraId="30BC7BA1" w14:textId="77777777" w:rsidR="004C6937" w:rsidRDefault="004C6937" w:rsidP="00851138">
            <w:pPr>
              <w:spacing w:after="240"/>
            </w:pPr>
          </w:p>
          <w:p w14:paraId="49DFA5A8" w14:textId="77777777" w:rsidR="004C6937" w:rsidRDefault="004C6937" w:rsidP="00851138">
            <w:pPr>
              <w:spacing w:after="240"/>
            </w:pPr>
          </w:p>
          <w:p w14:paraId="23E2F387" w14:textId="77777777" w:rsidR="004C6937" w:rsidRDefault="004C6937" w:rsidP="00851138">
            <w:pPr>
              <w:spacing w:after="240"/>
            </w:pPr>
          </w:p>
          <w:p w14:paraId="54A53F2F" w14:textId="77777777" w:rsidR="004C6937" w:rsidRPr="00387B64" w:rsidRDefault="004C6937" w:rsidP="00116A6E">
            <w:pPr>
              <w:ind w:left="1168"/>
              <w:rPr>
                <w:sz w:val="40"/>
                <w:szCs w:val="40"/>
              </w:rPr>
            </w:pPr>
            <w:r w:rsidRPr="00387B64">
              <w:rPr>
                <w:sz w:val="40"/>
                <w:szCs w:val="40"/>
              </w:rPr>
              <w:t>P6.5</w:t>
            </w:r>
          </w:p>
          <w:p w14:paraId="6275D04E" w14:textId="77777777" w:rsidR="004C6937" w:rsidRPr="00B241D9" w:rsidRDefault="004C6937" w:rsidP="00116A6E">
            <w:pPr>
              <w:ind w:left="1168"/>
              <w:rPr>
                <w:color w:val="000000" w:themeColor="text1"/>
                <w:sz w:val="40"/>
                <w:szCs w:val="40"/>
              </w:rPr>
            </w:pPr>
            <w:proofErr w:type="spellStart"/>
            <w:r w:rsidRPr="00387B64">
              <w:rPr>
                <w:sz w:val="40"/>
                <w:szCs w:val="40"/>
              </w:rPr>
              <w:t>Metrolojik</w:t>
            </w:r>
            <w:proofErr w:type="spellEnd"/>
            <w:r w:rsidRPr="00387B64">
              <w:rPr>
                <w:sz w:val="40"/>
                <w:szCs w:val="40"/>
              </w:rPr>
              <w:t xml:space="preserve"> İzlenebilirlik Prosedürü</w:t>
            </w:r>
          </w:p>
          <w:p w14:paraId="5CC51F32" w14:textId="7B024518" w:rsidR="004C6937" w:rsidRPr="00B241D9" w:rsidRDefault="004C6937" w:rsidP="00116A6E">
            <w:pPr>
              <w:ind w:left="1168"/>
              <w:rPr>
                <w:color w:val="000000" w:themeColor="text1"/>
                <w:sz w:val="40"/>
                <w:szCs w:val="40"/>
              </w:rPr>
            </w:pPr>
          </w:p>
          <w:p w14:paraId="21219B04" w14:textId="77777777" w:rsidR="00116A6E" w:rsidRPr="00B241D9" w:rsidRDefault="00116A6E" w:rsidP="00116A6E">
            <w:pPr>
              <w:ind w:left="1168"/>
              <w:rPr>
                <w:color w:val="000000" w:themeColor="text1"/>
                <w:sz w:val="40"/>
                <w:szCs w:val="40"/>
              </w:rPr>
            </w:pPr>
          </w:p>
          <w:p w14:paraId="114A995C" w14:textId="45E89964" w:rsidR="004C6937" w:rsidRPr="00B241D9" w:rsidRDefault="004C6937" w:rsidP="00851138">
            <w:pPr>
              <w:spacing w:after="240" w:line="240" w:lineRule="auto"/>
              <w:ind w:left="1168"/>
              <w:rPr>
                <w:color w:val="000000" w:themeColor="text1"/>
                <w:sz w:val="28"/>
                <w:szCs w:val="28"/>
              </w:rPr>
            </w:pPr>
            <w:r w:rsidRPr="00B241D9">
              <w:rPr>
                <w:color w:val="000000" w:themeColor="text1"/>
                <w:sz w:val="28"/>
                <w:szCs w:val="28"/>
              </w:rPr>
              <w:t>Revizyon Tarihi</w:t>
            </w:r>
            <w:r w:rsidRPr="00B241D9">
              <w:rPr>
                <w:color w:val="000000" w:themeColor="text1"/>
                <w:sz w:val="28"/>
                <w:szCs w:val="28"/>
              </w:rPr>
              <w:tab/>
              <w:t xml:space="preserve">: </w:t>
            </w:r>
            <w:r w:rsidR="008B7E5C" w:rsidRPr="00B241D9">
              <w:rPr>
                <w:color w:val="000000" w:themeColor="text1"/>
                <w:sz w:val="28"/>
                <w:szCs w:val="28"/>
              </w:rPr>
              <w:t>2</w:t>
            </w:r>
            <w:r w:rsidR="00D17892" w:rsidRPr="00B241D9">
              <w:rPr>
                <w:color w:val="000000" w:themeColor="text1"/>
                <w:sz w:val="28"/>
                <w:szCs w:val="28"/>
              </w:rPr>
              <w:t>4</w:t>
            </w:r>
            <w:r w:rsidR="008B7E5C" w:rsidRPr="00B241D9">
              <w:rPr>
                <w:color w:val="000000" w:themeColor="text1"/>
                <w:sz w:val="28"/>
                <w:szCs w:val="28"/>
              </w:rPr>
              <w:t>.01.2025</w:t>
            </w:r>
          </w:p>
          <w:p w14:paraId="75EA09E1" w14:textId="43999B2F" w:rsidR="004C6937" w:rsidRPr="00B241D9" w:rsidRDefault="004C6937" w:rsidP="00851138">
            <w:pPr>
              <w:spacing w:after="240" w:line="240" w:lineRule="auto"/>
              <w:ind w:left="1168"/>
              <w:rPr>
                <w:color w:val="000000" w:themeColor="text1"/>
                <w:sz w:val="28"/>
                <w:szCs w:val="28"/>
              </w:rPr>
            </w:pPr>
            <w:r w:rsidRPr="00B241D9">
              <w:rPr>
                <w:color w:val="000000" w:themeColor="text1"/>
                <w:sz w:val="28"/>
                <w:szCs w:val="28"/>
              </w:rPr>
              <w:t>Revizyon No</w:t>
            </w:r>
            <w:r w:rsidRPr="00B241D9">
              <w:rPr>
                <w:color w:val="000000" w:themeColor="text1"/>
                <w:sz w:val="28"/>
                <w:szCs w:val="28"/>
              </w:rPr>
              <w:tab/>
            </w:r>
            <w:r w:rsidRPr="00B241D9">
              <w:rPr>
                <w:color w:val="000000" w:themeColor="text1"/>
                <w:sz w:val="28"/>
                <w:szCs w:val="28"/>
              </w:rPr>
              <w:tab/>
              <w:t>: 0</w:t>
            </w:r>
            <w:r w:rsidR="00C740CC" w:rsidRPr="00B241D9">
              <w:rPr>
                <w:color w:val="000000" w:themeColor="text1"/>
                <w:sz w:val="28"/>
                <w:szCs w:val="28"/>
              </w:rPr>
              <w:t>1</w:t>
            </w:r>
          </w:p>
          <w:p w14:paraId="2E89E411" w14:textId="77777777" w:rsidR="004C6937" w:rsidRPr="00BF2E07" w:rsidRDefault="004C6937" w:rsidP="00851138">
            <w:pPr>
              <w:spacing w:after="240"/>
              <w:rPr>
                <w:b/>
                <w:highlight w:val="yellow"/>
              </w:rPr>
            </w:pPr>
          </w:p>
        </w:tc>
      </w:tr>
      <w:tr w:rsidR="004C6937" w:rsidRPr="00F07CB4" w14:paraId="7A20FB8D" w14:textId="77777777" w:rsidTr="00851138">
        <w:trPr>
          <w:trHeight w:val="491"/>
        </w:trPr>
        <w:tc>
          <w:tcPr>
            <w:tcW w:w="2620" w:type="dxa"/>
            <w:gridSpan w:val="2"/>
            <w:vAlign w:val="center"/>
          </w:tcPr>
          <w:p w14:paraId="296A9F45" w14:textId="77777777" w:rsidR="004C6937" w:rsidRPr="00F33B57" w:rsidRDefault="004C6937" w:rsidP="00851138">
            <w:pPr>
              <w:pStyle w:val="Altbilgi1"/>
              <w:jc w:val="center"/>
              <w:rPr>
                <w:b/>
                <w:sz w:val="28"/>
                <w:szCs w:val="28"/>
              </w:rPr>
            </w:pPr>
            <w:r w:rsidRPr="00F33B57">
              <w:rPr>
                <w:b/>
                <w:sz w:val="28"/>
                <w:szCs w:val="28"/>
              </w:rPr>
              <w:t>Hazırlayan</w:t>
            </w:r>
          </w:p>
        </w:tc>
        <w:tc>
          <w:tcPr>
            <w:tcW w:w="2539" w:type="dxa"/>
            <w:vAlign w:val="center"/>
          </w:tcPr>
          <w:p w14:paraId="7A6CDB07" w14:textId="77777777" w:rsidR="004C6937" w:rsidRPr="00F33B57" w:rsidRDefault="004C6937" w:rsidP="00851138">
            <w:pPr>
              <w:pStyle w:val="Altbilgi1"/>
              <w:jc w:val="center"/>
              <w:rPr>
                <w:b/>
                <w:sz w:val="28"/>
                <w:szCs w:val="28"/>
              </w:rPr>
            </w:pPr>
            <w:r w:rsidRPr="00F33B57">
              <w:rPr>
                <w:b/>
                <w:sz w:val="28"/>
                <w:szCs w:val="28"/>
              </w:rPr>
              <w:t>İmza</w:t>
            </w:r>
          </w:p>
        </w:tc>
        <w:tc>
          <w:tcPr>
            <w:tcW w:w="2615" w:type="dxa"/>
            <w:vAlign w:val="center"/>
          </w:tcPr>
          <w:p w14:paraId="3D1B87E4" w14:textId="77777777" w:rsidR="004C6937" w:rsidRPr="00F33B57" w:rsidRDefault="004C6937" w:rsidP="00851138">
            <w:pPr>
              <w:pStyle w:val="Altbilgi1"/>
              <w:jc w:val="center"/>
              <w:rPr>
                <w:sz w:val="28"/>
                <w:szCs w:val="28"/>
              </w:rPr>
            </w:pPr>
            <w:r w:rsidRPr="00F33B57">
              <w:rPr>
                <w:b/>
                <w:sz w:val="28"/>
                <w:szCs w:val="28"/>
              </w:rPr>
              <w:t>Onaylayan</w:t>
            </w:r>
          </w:p>
        </w:tc>
        <w:tc>
          <w:tcPr>
            <w:tcW w:w="2539" w:type="dxa"/>
            <w:vAlign w:val="center"/>
          </w:tcPr>
          <w:p w14:paraId="6439027A" w14:textId="77777777" w:rsidR="004C6937" w:rsidRPr="00F33B57" w:rsidRDefault="004C6937" w:rsidP="00851138">
            <w:pPr>
              <w:pStyle w:val="Altbilgi1"/>
              <w:jc w:val="center"/>
              <w:rPr>
                <w:sz w:val="28"/>
                <w:szCs w:val="28"/>
              </w:rPr>
            </w:pPr>
            <w:r w:rsidRPr="00F33B57">
              <w:rPr>
                <w:b/>
                <w:sz w:val="28"/>
                <w:szCs w:val="28"/>
              </w:rPr>
              <w:t>İmza</w:t>
            </w:r>
          </w:p>
        </w:tc>
      </w:tr>
      <w:tr w:rsidR="004C6937" w:rsidRPr="00F07CB4" w14:paraId="1EFFB4F7" w14:textId="77777777" w:rsidTr="00851138">
        <w:trPr>
          <w:trHeight w:val="829"/>
        </w:trPr>
        <w:tc>
          <w:tcPr>
            <w:tcW w:w="2620" w:type="dxa"/>
            <w:gridSpan w:val="2"/>
            <w:vAlign w:val="center"/>
          </w:tcPr>
          <w:p w14:paraId="5E5F4C61" w14:textId="65844CB1" w:rsidR="004C6937" w:rsidRPr="00961943" w:rsidRDefault="00C740CC" w:rsidP="00851138">
            <w:pPr>
              <w:pStyle w:val="Altbilgi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1943">
              <w:rPr>
                <w:color w:val="000000" w:themeColor="text1"/>
                <w:sz w:val="28"/>
                <w:szCs w:val="28"/>
              </w:rPr>
              <w:t>Oğuzhan BAL</w:t>
            </w:r>
          </w:p>
        </w:tc>
        <w:tc>
          <w:tcPr>
            <w:tcW w:w="2539" w:type="dxa"/>
            <w:vAlign w:val="center"/>
          </w:tcPr>
          <w:p w14:paraId="0901FE55" w14:textId="77777777" w:rsidR="004C6937" w:rsidRPr="00961943" w:rsidRDefault="004C6937" w:rsidP="00851138">
            <w:pPr>
              <w:pStyle w:val="Altbilgi1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15" w:type="dxa"/>
            <w:vAlign w:val="center"/>
          </w:tcPr>
          <w:p w14:paraId="2C86B53B" w14:textId="797B2CC7" w:rsidR="004C6937" w:rsidRPr="00961943" w:rsidRDefault="00C740CC" w:rsidP="00851138">
            <w:pPr>
              <w:pStyle w:val="Altbilgi1"/>
              <w:jc w:val="center"/>
              <w:rPr>
                <w:color w:val="000000" w:themeColor="text1"/>
                <w:sz w:val="28"/>
                <w:szCs w:val="28"/>
              </w:rPr>
            </w:pPr>
            <w:r w:rsidRPr="00961943">
              <w:rPr>
                <w:color w:val="000000" w:themeColor="text1"/>
                <w:sz w:val="28"/>
                <w:szCs w:val="28"/>
              </w:rPr>
              <w:t>Aydın SAĞLIK</w:t>
            </w:r>
          </w:p>
        </w:tc>
        <w:tc>
          <w:tcPr>
            <w:tcW w:w="2539" w:type="dxa"/>
            <w:vAlign w:val="center"/>
          </w:tcPr>
          <w:p w14:paraId="46E374AC" w14:textId="77777777" w:rsidR="004C6937" w:rsidRPr="00F33B57" w:rsidRDefault="004C6937" w:rsidP="00851138">
            <w:pPr>
              <w:pStyle w:val="Altbilgi1"/>
              <w:jc w:val="center"/>
              <w:rPr>
                <w:sz w:val="28"/>
                <w:szCs w:val="28"/>
              </w:rPr>
            </w:pPr>
          </w:p>
        </w:tc>
      </w:tr>
    </w:tbl>
    <w:p w14:paraId="52CE3056" w14:textId="77777777" w:rsidR="00905271" w:rsidRDefault="00905271" w:rsidP="00905271">
      <w:pPr>
        <w:tabs>
          <w:tab w:val="left" w:pos="1122"/>
        </w:tabs>
      </w:pPr>
      <w:r>
        <w:tab/>
      </w:r>
    </w:p>
    <w:p w14:paraId="681ACA22" w14:textId="77777777" w:rsidR="004C6937" w:rsidRPr="00905271" w:rsidRDefault="00905271" w:rsidP="00905271">
      <w:pPr>
        <w:tabs>
          <w:tab w:val="left" w:pos="1122"/>
        </w:tabs>
        <w:sectPr w:rsidR="004C6937" w:rsidRPr="00905271" w:rsidSect="004C6937">
          <w:footerReference w:type="default" r:id="rId12"/>
          <w:footerReference w:type="first" r:id="rId13"/>
          <w:pgSz w:w="11906" w:h="16838" w:code="9"/>
          <w:pgMar w:top="567" w:right="851" w:bottom="567" w:left="1134" w:header="567" w:footer="567" w:gutter="0"/>
          <w:cols w:space="708"/>
          <w:titlePg/>
          <w:docGrid w:linePitch="360"/>
        </w:sectPr>
      </w:pPr>
      <w:r>
        <w:tab/>
      </w:r>
    </w:p>
    <w:p w14:paraId="66C96D4A" w14:textId="77777777" w:rsidR="004C6937" w:rsidRPr="0089635F" w:rsidRDefault="004C6937" w:rsidP="0089635F">
      <w:pPr>
        <w:pStyle w:val="Balk1"/>
      </w:pPr>
      <w:r w:rsidRPr="0089635F">
        <w:lastRenderedPageBreak/>
        <w:t>1. AMAÇ ve KAPSAM</w:t>
      </w:r>
    </w:p>
    <w:p w14:paraId="5872A226" w14:textId="77777777" w:rsidR="004C6937" w:rsidRPr="005B3B1E" w:rsidRDefault="004C6937" w:rsidP="00507A8F">
      <w:r w:rsidRPr="00C07988">
        <w:t>Bu doküman, TS EN ISO/IEC 17025 stan</w:t>
      </w:r>
      <w:r>
        <w:t>dardının Madde 6</w:t>
      </w:r>
      <w:r w:rsidRPr="00C07988">
        <w:t>.</w:t>
      </w:r>
      <w:r>
        <w:t xml:space="preserve">5 </w:t>
      </w:r>
      <w:proofErr w:type="spellStart"/>
      <w:r>
        <w:t>Metrolojik</w:t>
      </w:r>
      <w:proofErr w:type="spellEnd"/>
      <w:r>
        <w:t xml:space="preserve"> İzlenebilirlik </w:t>
      </w:r>
      <w:r w:rsidRPr="00C07988">
        <w:t>şartlarını kapsar.</w:t>
      </w:r>
      <w:r>
        <w:t xml:space="preserve"> Bu dokümanın amacı </w:t>
      </w:r>
      <w:r w:rsidRPr="00634E86">
        <w:t xml:space="preserve">DSİ laboratuvarlarında </w:t>
      </w:r>
      <w:r w:rsidRPr="005B3B1E">
        <w:t>yürütülmekte olan deney ve</w:t>
      </w:r>
      <w:r>
        <w:t>ya</w:t>
      </w:r>
      <w:r w:rsidRPr="005B3B1E">
        <w:t xml:space="preserve"> kalibrasyon hizmetlerinde </w:t>
      </w:r>
      <w:r>
        <w:t xml:space="preserve">ölçüm sonuçlarının </w:t>
      </w:r>
      <w:proofErr w:type="spellStart"/>
      <w:r>
        <w:t>metrolojik</w:t>
      </w:r>
      <w:proofErr w:type="spellEnd"/>
      <w:r>
        <w:t xml:space="preserve"> izlenebilirliğini sağlamak amacıyla </w:t>
      </w:r>
      <w:r w:rsidRPr="005B3B1E">
        <w:t>ölçümleri etkileyen cihaz ve ekipmanların, standart malzemelerin ve diğer deney ekipmanlarının ulusal veya uluslararası ölçü standartlarına olan izlenebilirli</w:t>
      </w:r>
      <w:r>
        <w:t>ği ile ilgili gerekli şartları belirlemektir.</w:t>
      </w:r>
    </w:p>
    <w:p w14:paraId="40C365B8" w14:textId="77777777" w:rsidR="004C6937" w:rsidRPr="0089635F" w:rsidRDefault="004C6937" w:rsidP="0089635F">
      <w:pPr>
        <w:pStyle w:val="Balk1"/>
      </w:pPr>
      <w:r w:rsidRPr="0089635F">
        <w:t>2. SORUMLULUK</w:t>
      </w:r>
    </w:p>
    <w:p w14:paraId="23221C7C" w14:textId="77777777" w:rsidR="004C6937" w:rsidRDefault="004C6937" w:rsidP="009077B8">
      <w:proofErr w:type="spellStart"/>
      <w:r>
        <w:t>Metrolojik</w:t>
      </w:r>
      <w:proofErr w:type="spellEnd"/>
      <w:r>
        <w:t xml:space="preserve"> izlenebilirlik dokümanının hazırlanmasından, kontrolünden, onaylanmasından ve yayımlanmasından TAKK Dairesi Başkanlığı sorumludur.</w:t>
      </w:r>
    </w:p>
    <w:p w14:paraId="6EAB9650" w14:textId="77777777" w:rsidR="004C6937" w:rsidRDefault="004C6937" w:rsidP="009077B8">
      <w:r>
        <w:t>Bu dokümanda yer alan şartların görev, yetki ve sorumluluk çerçev</w:t>
      </w:r>
      <w:r w:rsidRPr="00D05D2F">
        <w:t>esinde uygulamasından, DSİ Laboratuvarları teknik personeli sorumludur.</w:t>
      </w:r>
    </w:p>
    <w:p w14:paraId="47B27007" w14:textId="77777777" w:rsidR="004C6937" w:rsidRDefault="004C6937" w:rsidP="0089635F">
      <w:pPr>
        <w:pStyle w:val="Balk1"/>
      </w:pPr>
      <w:r>
        <w:t xml:space="preserve">3. </w:t>
      </w:r>
      <w:r w:rsidRPr="008E3E82">
        <w:t>TERİMLER VE TANIMLAR</w:t>
      </w:r>
    </w:p>
    <w:p w14:paraId="238084DA" w14:textId="77777777" w:rsidR="0089635F" w:rsidRPr="00562150" w:rsidRDefault="0089635F" w:rsidP="00562150">
      <w:pPr>
        <w:pStyle w:val="AralkYok"/>
      </w:pPr>
    </w:p>
    <w:p w14:paraId="14755D8A" w14:textId="77777777" w:rsidR="004C6937" w:rsidRDefault="004C6937" w:rsidP="00507A8F">
      <w:pPr>
        <w:pStyle w:val="AralkYok"/>
        <w:rPr>
          <w:b w:val="0"/>
        </w:rPr>
      </w:pPr>
      <w:proofErr w:type="spellStart"/>
      <w:r>
        <w:t>Metrolojik</w:t>
      </w:r>
      <w:proofErr w:type="spellEnd"/>
      <w:r>
        <w:t xml:space="preserve"> İzlenebilirlik</w:t>
      </w:r>
    </w:p>
    <w:p w14:paraId="75922F67" w14:textId="77777777" w:rsidR="004C6937" w:rsidRPr="00961943" w:rsidRDefault="004C6937" w:rsidP="009077B8">
      <w:r w:rsidRPr="005B3B1E">
        <w:t xml:space="preserve">Bir ölçüm sonucunun, her </w:t>
      </w:r>
      <w:r w:rsidRPr="00961943">
        <w:t>biri ölçüm belirsizliğine katkıda bulunan kalibrasyonlardan oluşan belgelendirilmiş kesintisiz bir zincir aracılığı ile belirli bir referansa ilişkilendirilebilme özelliği (VIM Madde 2.41)</w:t>
      </w:r>
    </w:p>
    <w:p w14:paraId="04316C12" w14:textId="77777777" w:rsidR="004C6937" w:rsidRPr="00961943" w:rsidRDefault="004C6937" w:rsidP="00507A8F">
      <w:pPr>
        <w:pStyle w:val="AralkYok"/>
      </w:pPr>
      <w:proofErr w:type="spellStart"/>
      <w:r w:rsidRPr="00961943">
        <w:t>Metrolojik</w:t>
      </w:r>
      <w:proofErr w:type="spellEnd"/>
      <w:r w:rsidRPr="00961943">
        <w:t xml:space="preserve"> İzlenebilirlik Zinciri</w:t>
      </w:r>
    </w:p>
    <w:p w14:paraId="770BA682" w14:textId="77777777" w:rsidR="004C6937" w:rsidRPr="00961943" w:rsidRDefault="004C6937" w:rsidP="009077B8">
      <w:pPr>
        <w:rPr>
          <w:b/>
        </w:rPr>
      </w:pPr>
      <w:r w:rsidRPr="00961943">
        <w:t>Bir ölçüm sonucunu bir referansa ilişkilendirmede kullanılan, ölçüm standartları ve kalibrasyonların sıralaması (VIM Madde 2.42)</w:t>
      </w:r>
    </w:p>
    <w:p w14:paraId="14FFBD5E" w14:textId="77777777" w:rsidR="004C6937" w:rsidRPr="00961943" w:rsidRDefault="004C6937" w:rsidP="00507A8F">
      <w:pPr>
        <w:pStyle w:val="AralkYok"/>
      </w:pPr>
      <w:r w:rsidRPr="00961943">
        <w:t xml:space="preserve">Ölçüm Birimine </w:t>
      </w:r>
      <w:proofErr w:type="spellStart"/>
      <w:r w:rsidRPr="00961943">
        <w:t>Metrolojik</w:t>
      </w:r>
      <w:proofErr w:type="spellEnd"/>
      <w:r w:rsidRPr="00961943">
        <w:t xml:space="preserve"> İzlenebilirlik</w:t>
      </w:r>
    </w:p>
    <w:p w14:paraId="3210879B" w14:textId="77777777" w:rsidR="004C6937" w:rsidRPr="00961943" w:rsidRDefault="004C6937" w:rsidP="00507A8F">
      <w:r w:rsidRPr="00961943">
        <w:t xml:space="preserve">Bir ölçüm biriminin uygulamada gerçekleştirilen tanımını referans alan </w:t>
      </w:r>
      <w:proofErr w:type="spellStart"/>
      <w:r w:rsidRPr="00961943">
        <w:t>metrolojik</w:t>
      </w:r>
      <w:proofErr w:type="spellEnd"/>
      <w:r w:rsidRPr="00961943">
        <w:t xml:space="preserve"> izlenebilirlik (VIM Madde</w:t>
      </w:r>
      <w:r w:rsidRPr="00961943">
        <w:rPr>
          <w:b/>
        </w:rPr>
        <w:t xml:space="preserve"> </w:t>
      </w:r>
      <w:r w:rsidRPr="00961943">
        <w:t>2.43)</w:t>
      </w:r>
    </w:p>
    <w:p w14:paraId="3F2F1196" w14:textId="77777777" w:rsidR="004C6937" w:rsidRPr="00961943" w:rsidRDefault="004C6937" w:rsidP="00507A8F">
      <w:pPr>
        <w:pStyle w:val="AralkYok"/>
      </w:pPr>
      <w:r w:rsidRPr="00961943">
        <w:t>Ulusal Metroloji Enstitüsü (UME)</w:t>
      </w:r>
    </w:p>
    <w:p w14:paraId="0BC27DE3" w14:textId="7EBE1CBC" w:rsidR="004C6937" w:rsidRPr="009046FE" w:rsidRDefault="004C6937" w:rsidP="00507A8F">
      <w:r w:rsidRPr="00961943">
        <w:t>Ulusal metroloji enstitüleri (UME) ve yetkilendirilmiş kuruluşlar (DI), ülkelerindeki veya bölgelerindeki ulusal ölçüm standartlarının Uluslararası Birimler Sistemi’ndeki (SI) tanımına göre oluşturularak, muhafaza edilmesi, uluslararası</w:t>
      </w:r>
      <w:r w:rsidRPr="009046FE">
        <w:t xml:space="preserve"> ölçüm standartlarına denkliğinin sağlanması ve </w:t>
      </w:r>
      <w:proofErr w:type="spellStart"/>
      <w:r w:rsidRPr="009046FE">
        <w:t>metrolojik</w:t>
      </w:r>
      <w:proofErr w:type="spellEnd"/>
      <w:r w:rsidRPr="009046FE">
        <w:t xml:space="preserve"> izlenebilirliğin ülke içinde ikinci ve daha alt seviyedeki laboratuvarlara sağlanmasından sorumludur</w:t>
      </w:r>
      <w:r w:rsidR="00841FFA">
        <w:t xml:space="preserve"> </w:t>
      </w:r>
      <w:r>
        <w:t>(TÜRKAK R10.12)</w:t>
      </w:r>
      <w:r w:rsidR="00841FFA">
        <w:t>.</w:t>
      </w:r>
    </w:p>
    <w:p w14:paraId="3F643180" w14:textId="77777777" w:rsidR="004C6937" w:rsidRPr="00471019" w:rsidRDefault="004C6937" w:rsidP="00507A8F">
      <w:pPr>
        <w:pStyle w:val="AralkYok"/>
      </w:pPr>
      <w:r>
        <w:t>KCDB (</w:t>
      </w:r>
      <w:proofErr w:type="spellStart"/>
      <w:r>
        <w:t>Key</w:t>
      </w:r>
      <w:proofErr w:type="spellEnd"/>
      <w:r>
        <w:t xml:space="preserve"> </w:t>
      </w:r>
      <w:proofErr w:type="spellStart"/>
      <w:r>
        <w:t>comparison</w:t>
      </w:r>
      <w:proofErr w:type="spellEnd"/>
      <w:r>
        <w:t xml:space="preserve"> </w:t>
      </w:r>
      <w:proofErr w:type="spellStart"/>
      <w:r>
        <w:t>database</w:t>
      </w:r>
      <w:proofErr w:type="spellEnd"/>
      <w:r>
        <w:t>)</w:t>
      </w:r>
    </w:p>
    <w:p w14:paraId="01CBD2A5" w14:textId="77777777" w:rsidR="004C6937" w:rsidRDefault="004C6937" w:rsidP="00507A8F">
      <w:r w:rsidRPr="00023930">
        <w:t>Anahtar Karşılaştırmalar Veri Tabanı</w:t>
      </w:r>
    </w:p>
    <w:p w14:paraId="035CC0F0" w14:textId="77777777" w:rsidR="004C6937" w:rsidRPr="00023930" w:rsidRDefault="004C6937" w:rsidP="00507A8F">
      <w:pPr>
        <w:pStyle w:val="AralkYok"/>
      </w:pPr>
      <w:r w:rsidRPr="00023930">
        <w:t>MLA</w:t>
      </w:r>
      <w:r>
        <w:t xml:space="preserve"> (Multi </w:t>
      </w:r>
      <w:proofErr w:type="spellStart"/>
      <w:r>
        <w:t>lateren</w:t>
      </w:r>
      <w:proofErr w:type="spellEnd"/>
      <w:r w:rsidRPr="0041360F">
        <w:t xml:space="preserve"> </w:t>
      </w:r>
      <w:proofErr w:type="spellStart"/>
      <w:r w:rsidRPr="0041360F">
        <w:t>agreement</w:t>
      </w:r>
      <w:proofErr w:type="spellEnd"/>
      <w:r>
        <w:t>)</w:t>
      </w:r>
    </w:p>
    <w:p w14:paraId="18626520" w14:textId="77777777" w:rsidR="004C6937" w:rsidRPr="00023930" w:rsidRDefault="004C6937" w:rsidP="00507A8F">
      <w:r w:rsidRPr="00023930">
        <w:t xml:space="preserve">Çok Taraflı Tanınırlık Anlaşması </w:t>
      </w:r>
    </w:p>
    <w:p w14:paraId="11CE2DFF" w14:textId="77777777" w:rsidR="004C6937" w:rsidRPr="00023930" w:rsidRDefault="004C6937" w:rsidP="00507A8F">
      <w:pPr>
        <w:pStyle w:val="AralkYok"/>
      </w:pPr>
      <w:proofErr w:type="gramStart"/>
      <w:r w:rsidRPr="00023930">
        <w:t>MRA</w:t>
      </w:r>
      <w:r>
        <w:t>(</w:t>
      </w:r>
      <w:proofErr w:type="spellStart"/>
      <w:proofErr w:type="gramEnd"/>
      <w:r w:rsidRPr="0041360F">
        <w:t>Mutual</w:t>
      </w:r>
      <w:proofErr w:type="spellEnd"/>
      <w:r w:rsidRPr="0041360F">
        <w:t xml:space="preserve"> </w:t>
      </w:r>
      <w:proofErr w:type="spellStart"/>
      <w:r w:rsidRPr="0041360F">
        <w:t>recognition</w:t>
      </w:r>
      <w:proofErr w:type="spellEnd"/>
      <w:r w:rsidRPr="0041360F">
        <w:t xml:space="preserve"> </w:t>
      </w:r>
      <w:proofErr w:type="spellStart"/>
      <w:r w:rsidRPr="0041360F">
        <w:t>agreement</w:t>
      </w:r>
      <w:proofErr w:type="spellEnd"/>
      <w:r>
        <w:t>)</w:t>
      </w:r>
    </w:p>
    <w:p w14:paraId="2DC74EC4" w14:textId="77777777" w:rsidR="004C6937" w:rsidRDefault="004C6937" w:rsidP="00507A8F">
      <w:r w:rsidRPr="00023930">
        <w:t>Karşılıklı Tanıma Düzenlemesi</w:t>
      </w:r>
    </w:p>
    <w:p w14:paraId="52257D19" w14:textId="0B170CBC" w:rsidR="004C6937" w:rsidRPr="00023930" w:rsidRDefault="004C6937" w:rsidP="00507A8F">
      <w:pPr>
        <w:pStyle w:val="AralkYok"/>
      </w:pPr>
      <w:proofErr w:type="gramStart"/>
      <w:r w:rsidRPr="00023930">
        <w:t>BIPM</w:t>
      </w:r>
      <w:r>
        <w:t xml:space="preserve">( </w:t>
      </w:r>
      <w:proofErr w:type="spellStart"/>
      <w:r>
        <w:t>Bureau</w:t>
      </w:r>
      <w:proofErr w:type="spellEnd"/>
      <w:proofErr w:type="gramEnd"/>
      <w:r>
        <w:t xml:space="preserve"> International </w:t>
      </w:r>
      <w:proofErr w:type="spellStart"/>
      <w:r>
        <w:t>des</w:t>
      </w:r>
      <w:proofErr w:type="spellEnd"/>
      <w:r>
        <w:t xml:space="preserve"> </w:t>
      </w:r>
      <w:proofErr w:type="spellStart"/>
      <w:r>
        <w:t>Doi</w:t>
      </w:r>
      <w:r w:rsidR="00D1339B">
        <w:t>p</w:t>
      </w:r>
      <w:r>
        <w:t>s</w:t>
      </w:r>
      <w:proofErr w:type="spellEnd"/>
      <w:r>
        <w:t xml:space="preserve"> et </w:t>
      </w:r>
      <w:proofErr w:type="spellStart"/>
      <w:r>
        <w:t>Mesures</w:t>
      </w:r>
      <w:proofErr w:type="spellEnd"/>
      <w:r>
        <w:t>)</w:t>
      </w:r>
    </w:p>
    <w:p w14:paraId="033CF9A5" w14:textId="77777777" w:rsidR="004C6937" w:rsidRPr="00023930" w:rsidRDefault="004C6937" w:rsidP="00507A8F">
      <w:r w:rsidRPr="00023930">
        <w:lastRenderedPageBreak/>
        <w:t>Uluslararası Ağırlıklar ve Ölçüler Bürosu</w:t>
      </w:r>
    </w:p>
    <w:p w14:paraId="5541EABC" w14:textId="77777777" w:rsidR="004C6937" w:rsidRPr="00023930" w:rsidRDefault="004C6937" w:rsidP="00507A8F">
      <w:pPr>
        <w:pStyle w:val="AralkYok"/>
      </w:pPr>
      <w:r w:rsidRPr="00023930">
        <w:t>CIPM</w:t>
      </w:r>
      <w:r>
        <w:t xml:space="preserve"> (</w:t>
      </w:r>
      <w:r w:rsidRPr="0041360F">
        <w:t xml:space="preserve">International </w:t>
      </w:r>
      <w:proofErr w:type="spellStart"/>
      <w:r w:rsidRPr="0041360F">
        <w:t>Committee</w:t>
      </w:r>
      <w:proofErr w:type="spellEnd"/>
      <w:r w:rsidRPr="0041360F">
        <w:t xml:space="preserve"> </w:t>
      </w:r>
      <w:proofErr w:type="spellStart"/>
      <w:r w:rsidRPr="0041360F">
        <w:t>for</w:t>
      </w:r>
      <w:proofErr w:type="spellEnd"/>
      <w:r w:rsidRPr="0041360F">
        <w:t xml:space="preserve"> </w:t>
      </w:r>
      <w:proofErr w:type="spellStart"/>
      <w:r w:rsidRPr="0041360F">
        <w:t>Weights</w:t>
      </w:r>
      <w:proofErr w:type="spellEnd"/>
      <w:r w:rsidRPr="0041360F">
        <w:t xml:space="preserve"> </w:t>
      </w:r>
      <w:proofErr w:type="spellStart"/>
      <w:r w:rsidRPr="0041360F">
        <w:t>and</w:t>
      </w:r>
      <w:proofErr w:type="spellEnd"/>
      <w:r w:rsidRPr="0041360F">
        <w:t xml:space="preserve"> </w:t>
      </w:r>
      <w:proofErr w:type="spellStart"/>
      <w:r w:rsidRPr="0041360F">
        <w:t>Measures</w:t>
      </w:r>
      <w:proofErr w:type="spellEnd"/>
      <w:r>
        <w:t>)</w:t>
      </w:r>
    </w:p>
    <w:p w14:paraId="5CD70630" w14:textId="77777777" w:rsidR="004C6937" w:rsidRDefault="004C6937" w:rsidP="00507A8F">
      <w:r w:rsidRPr="00023930">
        <w:t>Uluslararası Ağırlıklar ve</w:t>
      </w:r>
      <w:r>
        <w:t xml:space="preserve"> Ölçüler</w:t>
      </w:r>
      <w:r w:rsidRPr="00023930">
        <w:t xml:space="preserve"> </w:t>
      </w:r>
      <w:r>
        <w:t>Komitesi</w:t>
      </w:r>
    </w:p>
    <w:p w14:paraId="401552C1" w14:textId="77777777" w:rsidR="004C6937" w:rsidRPr="001E1DF2" w:rsidRDefault="004C6937" w:rsidP="00507A8F">
      <w:pPr>
        <w:pStyle w:val="AralkYok"/>
      </w:pPr>
      <w:r w:rsidRPr="001E1DF2">
        <w:t>JCTLM</w:t>
      </w:r>
      <w:r>
        <w:t xml:space="preserve"> (</w:t>
      </w:r>
      <w:proofErr w:type="spellStart"/>
      <w:r w:rsidRPr="0041360F">
        <w:t>Joint</w:t>
      </w:r>
      <w:proofErr w:type="spellEnd"/>
      <w:r w:rsidRPr="0041360F">
        <w:t xml:space="preserve"> </w:t>
      </w:r>
      <w:proofErr w:type="spellStart"/>
      <w:r w:rsidRPr="0041360F">
        <w:t>Committee</w:t>
      </w:r>
      <w:proofErr w:type="spellEnd"/>
      <w:r w:rsidRPr="0041360F">
        <w:t xml:space="preserve"> </w:t>
      </w:r>
      <w:proofErr w:type="spellStart"/>
      <w:r w:rsidRPr="0041360F">
        <w:t>for</w:t>
      </w:r>
      <w:proofErr w:type="spellEnd"/>
      <w:r w:rsidRPr="0041360F">
        <w:t xml:space="preserve"> </w:t>
      </w:r>
      <w:proofErr w:type="spellStart"/>
      <w:r w:rsidRPr="0041360F">
        <w:t>Traceability</w:t>
      </w:r>
      <w:proofErr w:type="spellEnd"/>
      <w:r w:rsidRPr="0041360F">
        <w:t xml:space="preserve"> in </w:t>
      </w:r>
      <w:proofErr w:type="spellStart"/>
      <w:r w:rsidRPr="0041360F">
        <w:t>Laboratory</w:t>
      </w:r>
      <w:proofErr w:type="spellEnd"/>
      <w:r w:rsidRPr="0041360F">
        <w:t xml:space="preserve"> </w:t>
      </w:r>
      <w:proofErr w:type="spellStart"/>
      <w:r w:rsidRPr="0041360F">
        <w:t>Medicine</w:t>
      </w:r>
      <w:proofErr w:type="spellEnd"/>
      <w:r>
        <w:t>)</w:t>
      </w:r>
    </w:p>
    <w:p w14:paraId="0D147E7F" w14:textId="77777777" w:rsidR="004C6937" w:rsidRDefault="004C6937" w:rsidP="00507A8F">
      <w:r w:rsidRPr="001E1DF2">
        <w:t>Tıbbi Laboratuvarlar İzlenebilirlik Ortak Komitesi</w:t>
      </w:r>
    </w:p>
    <w:p w14:paraId="66459372" w14:textId="77777777" w:rsidR="004C6937" w:rsidRPr="00722503" w:rsidRDefault="004C6937" w:rsidP="00507A8F">
      <w:pPr>
        <w:pStyle w:val="AralkYok"/>
      </w:pPr>
      <w:r w:rsidRPr="00722503">
        <w:t xml:space="preserve">Teknik Personel </w:t>
      </w:r>
    </w:p>
    <w:p w14:paraId="163656EE" w14:textId="77777777" w:rsidR="004C6937" w:rsidRDefault="004C6937" w:rsidP="00507A8F">
      <w:r>
        <w:t>Şef, teknik şef, mühendis, lisansiyer, tekniker, teknisyen</w:t>
      </w:r>
    </w:p>
    <w:p w14:paraId="3DB1AC1F" w14:textId="77777777" w:rsidR="004C6937" w:rsidRPr="0089635F" w:rsidRDefault="004C6937" w:rsidP="0089635F">
      <w:pPr>
        <w:pStyle w:val="Balk1"/>
      </w:pPr>
      <w:r w:rsidRPr="0089635F">
        <w:t>4. UYGULAMA</w:t>
      </w:r>
    </w:p>
    <w:p w14:paraId="6424FBEC" w14:textId="77777777" w:rsidR="004C6937" w:rsidRPr="0089635F" w:rsidRDefault="004C6937" w:rsidP="0089635F">
      <w:pPr>
        <w:pStyle w:val="Balk2"/>
      </w:pPr>
      <w:r w:rsidRPr="0089635F">
        <w:t>4.1. Deney/Kalibrasyon Cihazlarının İzlenebilirliği İçin Şartlar</w:t>
      </w:r>
    </w:p>
    <w:p w14:paraId="79E184B1" w14:textId="77777777" w:rsidR="004C6937" w:rsidRDefault="004C6937" w:rsidP="0089635F">
      <w:r>
        <w:t xml:space="preserve">DSİ Laboratuvarlarında kullanılan </w:t>
      </w:r>
      <w:r w:rsidRPr="00FB1613">
        <w:t xml:space="preserve">referans </w:t>
      </w:r>
      <w:proofErr w:type="spellStart"/>
      <w:r w:rsidRPr="00FB1613">
        <w:t>standard</w:t>
      </w:r>
      <w:proofErr w:type="spellEnd"/>
      <w:r w:rsidRPr="00FB1613">
        <w:t xml:space="preserve"> ve ölçme aletlerinin uluslararası ölçü</w:t>
      </w:r>
      <w:r>
        <w:t xml:space="preserve"> sistemine göre izlenebilirliği</w:t>
      </w:r>
      <w:r w:rsidRPr="00FB1613">
        <w:t>, ilgili SI birimlerinin birincil (</w:t>
      </w:r>
      <w:proofErr w:type="spellStart"/>
      <w:r w:rsidRPr="00FB1613">
        <w:t>primer</w:t>
      </w:r>
      <w:proofErr w:type="spellEnd"/>
      <w:r w:rsidRPr="00FB1613">
        <w:t xml:space="preserve">) standartları ile bağlantılı olan kesintisiz bir kalibrasyon veya karşılaştırma zinciri vasıtasıyla </w:t>
      </w:r>
      <w:r>
        <w:t>sağlanmaktadır. Bunun için TURKAK R10.12’de belirtildiği üzere öncelikle;</w:t>
      </w:r>
    </w:p>
    <w:p w14:paraId="5BAC7315" w14:textId="77777777" w:rsidR="004C6937" w:rsidRDefault="004C6937" w:rsidP="0015792F">
      <w:pPr>
        <w:pStyle w:val="numaralandrma"/>
        <w:numPr>
          <w:ilvl w:val="0"/>
          <w:numId w:val="12"/>
        </w:numPr>
      </w:pPr>
      <w:r w:rsidRPr="00EF35A3">
        <w:t xml:space="preserve">Talep edilen hizmetle ilgili olarak CIPM MRA düzenlemesine taraf olan ve BIPM KCDB </w:t>
      </w:r>
      <w:proofErr w:type="spellStart"/>
      <w:r w:rsidRPr="00EF35A3">
        <w:t>veritabanında</w:t>
      </w:r>
      <w:proofErr w:type="spellEnd"/>
      <w:r w:rsidRPr="00EF35A3">
        <w:t xml:space="preserve"> yayınlanmış kalibrasyon ve ölçüm yeteneği (CMC) bulunan </w:t>
      </w:r>
      <w:r>
        <w:t>bir ulusal metroloji enstitüsü (Rota-1)</w:t>
      </w:r>
    </w:p>
    <w:p w14:paraId="01C7E558" w14:textId="77777777" w:rsidR="004C6937" w:rsidRDefault="004C6937" w:rsidP="0015792F">
      <w:pPr>
        <w:pStyle w:val="numaralandrma"/>
        <w:numPr>
          <w:ilvl w:val="0"/>
          <w:numId w:val="12"/>
        </w:numPr>
      </w:pPr>
      <w:r w:rsidRPr="00EF35A3">
        <w:t>Kalibrasyon alanında ILAC anlaşması veya ILAC tarafından tanınan bölgesel anlaşmalar kapsamında bulunan bir akreditasyon kuruluşunca TS EN ISO/IEC 17025 standardına göre akredite edilmiş ve akreditasyon kapsamında talep edil</w:t>
      </w:r>
      <w:r>
        <w:t xml:space="preserve">en hizmet bulunan </w:t>
      </w:r>
      <w:proofErr w:type="gramStart"/>
      <w:r>
        <w:t>laboratuvar(</w:t>
      </w:r>
      <w:proofErr w:type="gramEnd"/>
      <w:r>
        <w:t>Rota-2).</w:t>
      </w:r>
    </w:p>
    <w:p w14:paraId="6CB605FB" w14:textId="75E8FB73" w:rsidR="004C6937" w:rsidRDefault="004C6937" w:rsidP="0089635F">
      <w:proofErr w:type="gramStart"/>
      <w:r>
        <w:t>tercih</w:t>
      </w:r>
      <w:proofErr w:type="gramEnd"/>
      <w:r>
        <w:t xml:space="preserve"> edilmektedir. </w:t>
      </w:r>
      <w:proofErr w:type="spellStart"/>
      <w:r>
        <w:t>Metrolojik</w:t>
      </w:r>
      <w:proofErr w:type="spellEnd"/>
      <w:r>
        <w:t xml:space="preserve"> izlenebilirliğin yukarıdaki belirtilen laboratuvarlardan sağlanamaması durumunda (Rota-3);</w:t>
      </w:r>
    </w:p>
    <w:p w14:paraId="1E10640D" w14:textId="77777777" w:rsidR="004C6937" w:rsidRPr="00C355E2" w:rsidRDefault="004C6937" w:rsidP="0015792F">
      <w:pPr>
        <w:pStyle w:val="numaralandrma"/>
        <w:numPr>
          <w:ilvl w:val="0"/>
          <w:numId w:val="12"/>
        </w:numPr>
      </w:pPr>
      <w:r w:rsidRPr="00C355E2">
        <w:t xml:space="preserve">İhtiyaca uygun olarak hizmet veren ancak CIPM MRA düzenlemesine taraf olmayan ulusal metroloji enstitüsü. </w:t>
      </w:r>
    </w:p>
    <w:p w14:paraId="75DB067C" w14:textId="77777777" w:rsidR="004C6937" w:rsidRDefault="004C6937" w:rsidP="0015792F">
      <w:pPr>
        <w:pStyle w:val="numaralandrma"/>
        <w:numPr>
          <w:ilvl w:val="0"/>
          <w:numId w:val="12"/>
        </w:numPr>
      </w:pPr>
      <w:r w:rsidRPr="00C355E2">
        <w:t>İhtiyaca uygun olarak hizmet veren ancak ILAC anlaşması veya ILAC tarafından tanınan bölgesel anlaşmalar kapsamında yer almayan bir akreditasyon kuruluşunca TS EN ISO/IEC 17025 standardına göre akredite edilmi</w:t>
      </w:r>
      <w:r>
        <w:t>ş bir kalibrasyon laboratuvarı.</w:t>
      </w:r>
    </w:p>
    <w:p w14:paraId="6E94B2FD" w14:textId="25B39FE7" w:rsidR="004C6937" w:rsidRPr="0050341B" w:rsidRDefault="004C6937" w:rsidP="0089635F">
      <w:proofErr w:type="gramStart"/>
      <w:r>
        <w:t>kullanılabilir</w:t>
      </w:r>
      <w:proofErr w:type="gramEnd"/>
      <w:r>
        <w:t>. Fakat Rota-3’ün kullanılması durumunda</w:t>
      </w:r>
      <w:r w:rsidRPr="00C355E2">
        <w:t>, kalib</w:t>
      </w:r>
      <w:r>
        <w:t>rasyon hizmeti alınması planlanan</w:t>
      </w:r>
      <w:r w:rsidRPr="00C355E2">
        <w:t xml:space="preserve"> kalibrasyon sağlayıcının yetkinliğinin tespiti amacıyla</w:t>
      </w:r>
      <w:r w:rsidRPr="0050341B">
        <w:t>, TURKAK R10.1</w:t>
      </w:r>
      <w:r w:rsidR="0088281F" w:rsidRPr="0050341B">
        <w:t>2 Rehber dokümanında</w:t>
      </w:r>
      <w:r w:rsidRPr="0050341B">
        <w:t xml:space="preserve"> ifade edilen faaliyetler ve bu faaliyetlerin değerlendirilmesine yönelik kayıtların </w:t>
      </w:r>
      <w:proofErr w:type="spellStart"/>
      <w:r w:rsidRPr="0050341B">
        <w:t>TÜRKAK’a</w:t>
      </w:r>
      <w:proofErr w:type="spellEnd"/>
      <w:r w:rsidRPr="0050341B">
        <w:t xml:space="preserve"> sunulmak üzere muhafaza edilmesi gerekmektedir. </w:t>
      </w:r>
    </w:p>
    <w:p w14:paraId="59A37C22" w14:textId="77777777" w:rsidR="004C6937" w:rsidRPr="0050341B" w:rsidRDefault="004C6937" w:rsidP="0089635F">
      <w:pPr>
        <w:pStyle w:val="Balk2"/>
      </w:pPr>
      <w:r w:rsidRPr="0050341B">
        <w:t>4.2</w:t>
      </w:r>
      <w:r w:rsidR="006A2E98" w:rsidRPr="0050341B">
        <w:t>.</w:t>
      </w:r>
      <w:r w:rsidRPr="0050341B">
        <w:t xml:space="preserve"> Referans Malzemelerin (RM) ve Sertifikalı Referans Malzemelerin (SRM) Kullanımıyla Temin Edilen İzlenebilirlik İçin Şartlar</w:t>
      </w:r>
    </w:p>
    <w:p w14:paraId="6FDE17AA" w14:textId="6CB8AFB2" w:rsidR="004C6937" w:rsidRDefault="004C6937" w:rsidP="0089635F">
      <w:r w:rsidRPr="0050341B">
        <w:t xml:space="preserve">DSİ Laboratuvarlarında kullanılan Referans Malzemeler (RM) ve Sertifikalı Referans Malzemeler (SRM) in </w:t>
      </w:r>
      <w:proofErr w:type="spellStart"/>
      <w:r w:rsidRPr="0050341B">
        <w:t>metrolojik</w:t>
      </w:r>
      <w:proofErr w:type="spellEnd"/>
      <w:r w:rsidRPr="0050341B">
        <w:t xml:space="preserve"> izlenebilirlik bakımından seçiminde T</w:t>
      </w:r>
      <w:r w:rsidR="00AD375A" w:rsidRPr="0050341B">
        <w:t>Ü</w:t>
      </w:r>
      <w:r w:rsidRPr="0050341B">
        <w:t>RKAK R10.12’de</w:t>
      </w:r>
      <w:r>
        <w:t xml:space="preserve"> belirtildiği üzere aşağıdaki yollar kullanılır: </w:t>
      </w:r>
    </w:p>
    <w:p w14:paraId="363EC381" w14:textId="1149DE4D" w:rsidR="004C6937" w:rsidRPr="00B241D9" w:rsidRDefault="004C6937" w:rsidP="0089635F">
      <w:pPr>
        <w:pStyle w:val="numaralandrma"/>
        <w:numPr>
          <w:ilvl w:val="0"/>
          <w:numId w:val="6"/>
        </w:numPr>
        <w:rPr>
          <w:color w:val="000000" w:themeColor="text1"/>
        </w:rPr>
      </w:pPr>
      <w:r w:rsidRPr="007D0B54">
        <w:lastRenderedPageBreak/>
        <w:t xml:space="preserve">CIPM MRA düzenlemesine taraf olan ve </w:t>
      </w:r>
      <w:proofErr w:type="spellStart"/>
      <w:r w:rsidRPr="007D0B54">
        <w:t>BIPM’nin</w:t>
      </w:r>
      <w:proofErr w:type="spellEnd"/>
      <w:r w:rsidRPr="007D0B54">
        <w:t xml:space="preserve"> KCDB “Anahtar Karşılaştırma Veri </w:t>
      </w:r>
      <w:proofErr w:type="spellStart"/>
      <w:r w:rsidRPr="007D0B54">
        <w:t>Tabanı’nda</w:t>
      </w:r>
      <w:proofErr w:type="spellEnd"/>
      <w:r w:rsidRPr="007D0B54">
        <w:t xml:space="preserve">” yayınlanmış hizmeti bulunan ulusal metroloji enstitülerinin bu kapsamda üreterek değer atadıkları sertifikalı </w:t>
      </w:r>
      <w:r w:rsidRPr="00B241D9">
        <w:rPr>
          <w:color w:val="000000" w:themeColor="text1"/>
        </w:rPr>
        <w:t xml:space="preserve">malzemelerin veya </w:t>
      </w:r>
      <w:r w:rsidR="00C656CC" w:rsidRPr="00B241D9">
        <w:rPr>
          <w:i/>
          <w:iCs/>
          <w:color w:val="000000" w:themeColor="text1"/>
        </w:rPr>
        <w:t>TS EN</w:t>
      </w:r>
      <w:r w:rsidR="00C656CC" w:rsidRPr="00B241D9">
        <w:rPr>
          <w:color w:val="000000" w:themeColor="text1"/>
        </w:rPr>
        <w:t xml:space="preserve"> </w:t>
      </w:r>
      <w:r w:rsidRPr="00B241D9">
        <w:rPr>
          <w:color w:val="000000" w:themeColor="text1"/>
        </w:rPr>
        <w:t>ISO 17034</w:t>
      </w:r>
      <w:r w:rsidR="004917A4" w:rsidRPr="00B241D9">
        <w:rPr>
          <w:color w:val="000000" w:themeColor="text1"/>
        </w:rPr>
        <w:t xml:space="preserve"> </w:t>
      </w:r>
      <w:r w:rsidRPr="00B241D9">
        <w:rPr>
          <w:color w:val="000000" w:themeColor="text1"/>
        </w:rPr>
        <w:t>standardı esas alınarak akredite edilmiş referans malzeme üreticilerinin akredite kapsamları dahilinde ürettikleri sertifikalı referans malzemeler,</w:t>
      </w:r>
    </w:p>
    <w:p w14:paraId="20DEF153" w14:textId="77777777" w:rsidR="004C6937" w:rsidRPr="00B241D9" w:rsidRDefault="004C6937" w:rsidP="0089635F">
      <w:pPr>
        <w:pStyle w:val="numaralandrma"/>
        <w:numPr>
          <w:ilvl w:val="0"/>
          <w:numId w:val="6"/>
        </w:numPr>
        <w:rPr>
          <w:color w:val="000000" w:themeColor="text1"/>
        </w:rPr>
      </w:pPr>
      <w:r w:rsidRPr="00B241D9">
        <w:rPr>
          <w:color w:val="000000" w:themeColor="text1"/>
        </w:rPr>
        <w:t xml:space="preserve">JCTLM veri tabanına girilmiş olan sertifikalı referans malzemeler, </w:t>
      </w:r>
    </w:p>
    <w:p w14:paraId="23DCBF3E" w14:textId="61984103" w:rsidR="004C6937" w:rsidRPr="00B241D9" w:rsidRDefault="004C6937" w:rsidP="0089635F">
      <w:pPr>
        <w:pStyle w:val="numaralandrma"/>
        <w:numPr>
          <w:ilvl w:val="0"/>
          <w:numId w:val="6"/>
        </w:numPr>
        <w:rPr>
          <w:color w:val="000000" w:themeColor="text1"/>
        </w:rPr>
      </w:pPr>
      <w:r w:rsidRPr="00B241D9">
        <w:rPr>
          <w:color w:val="000000" w:themeColor="text1"/>
        </w:rPr>
        <w:t>Diğer referans malzeme üreticilerinin sağladığı referans malzemeler kritik sarf malzemesi olarak nitelendirilebilir. Laboratuvar, kullanmakta olduğu her bir referans malzemenin, TS EN ISO/IEC 17025 ve ISO 15189 standartlarına göre kullanım amacına uygun olduğunu göstermelidir.</w:t>
      </w:r>
    </w:p>
    <w:p w14:paraId="66A168F1" w14:textId="77777777" w:rsidR="004C6937" w:rsidRPr="00B241D9" w:rsidRDefault="004C6937" w:rsidP="0089635F">
      <w:pPr>
        <w:pStyle w:val="Balk2"/>
        <w:rPr>
          <w:color w:val="000000" w:themeColor="text1"/>
        </w:rPr>
      </w:pPr>
      <w:r w:rsidRPr="00B241D9">
        <w:rPr>
          <w:color w:val="000000" w:themeColor="text1"/>
        </w:rPr>
        <w:t>4.3</w:t>
      </w:r>
      <w:r w:rsidR="006A2E98" w:rsidRPr="00B241D9">
        <w:rPr>
          <w:color w:val="000000" w:themeColor="text1"/>
        </w:rPr>
        <w:t>.</w:t>
      </w:r>
      <w:r w:rsidRPr="00B241D9">
        <w:rPr>
          <w:color w:val="000000" w:themeColor="text1"/>
        </w:rPr>
        <w:t xml:space="preserve"> SI Birimlerine Doğrudan </w:t>
      </w:r>
      <w:proofErr w:type="spellStart"/>
      <w:r w:rsidRPr="00B241D9">
        <w:rPr>
          <w:color w:val="000000" w:themeColor="text1"/>
        </w:rPr>
        <w:t>Metrolojik</w:t>
      </w:r>
      <w:proofErr w:type="spellEnd"/>
      <w:r w:rsidRPr="00B241D9">
        <w:rPr>
          <w:color w:val="000000" w:themeColor="text1"/>
        </w:rPr>
        <w:t xml:space="preserve"> İzlenebilirliğin Olmadığı Durumlar İçin İzlenebilirlik Şartları </w:t>
      </w:r>
    </w:p>
    <w:p w14:paraId="5943C0F6" w14:textId="77777777" w:rsidR="004C6937" w:rsidRPr="00B241D9" w:rsidRDefault="004C6937" w:rsidP="0089635F">
      <w:pPr>
        <w:rPr>
          <w:color w:val="000000" w:themeColor="text1"/>
        </w:rPr>
      </w:pPr>
      <w:r w:rsidRPr="00B241D9">
        <w:rPr>
          <w:color w:val="000000" w:themeColor="text1"/>
        </w:rPr>
        <w:t xml:space="preserve">SI birimlerine </w:t>
      </w:r>
      <w:proofErr w:type="spellStart"/>
      <w:r w:rsidRPr="00B241D9">
        <w:rPr>
          <w:color w:val="000000" w:themeColor="text1"/>
        </w:rPr>
        <w:t>metrolojik</w:t>
      </w:r>
      <w:proofErr w:type="spellEnd"/>
      <w:r w:rsidRPr="00B241D9">
        <w:rPr>
          <w:color w:val="000000" w:themeColor="text1"/>
        </w:rPr>
        <w:t xml:space="preserve"> izlenebilirliğin teknik olarak mümkün olmaması durumunda laboratuvar, aşağıdaki örneklerdeki gibi uygun bir referansa </w:t>
      </w:r>
      <w:proofErr w:type="spellStart"/>
      <w:r w:rsidRPr="00B241D9">
        <w:rPr>
          <w:color w:val="000000" w:themeColor="text1"/>
        </w:rPr>
        <w:t>metrolojik</w:t>
      </w:r>
      <w:proofErr w:type="spellEnd"/>
      <w:r w:rsidRPr="00B241D9">
        <w:rPr>
          <w:color w:val="000000" w:themeColor="text1"/>
        </w:rPr>
        <w:t xml:space="preserve"> izlenebilirliği göstermelidir: </w:t>
      </w:r>
    </w:p>
    <w:p w14:paraId="174E8E49" w14:textId="77777777" w:rsidR="004C6937" w:rsidRPr="00B241D9" w:rsidRDefault="004C6937" w:rsidP="0089635F">
      <w:pPr>
        <w:pStyle w:val="numaralandrma"/>
        <w:numPr>
          <w:ilvl w:val="0"/>
          <w:numId w:val="9"/>
        </w:numPr>
        <w:rPr>
          <w:color w:val="000000" w:themeColor="text1"/>
        </w:rPr>
      </w:pPr>
      <w:proofErr w:type="gramStart"/>
      <w:r w:rsidRPr="00B241D9">
        <w:rPr>
          <w:color w:val="000000" w:themeColor="text1"/>
        </w:rPr>
        <w:t>yetkin</w:t>
      </w:r>
      <w:proofErr w:type="gramEnd"/>
      <w:r w:rsidRPr="00B241D9">
        <w:rPr>
          <w:color w:val="000000" w:themeColor="text1"/>
        </w:rPr>
        <w:t xml:space="preserve"> bir üreticiden temin edilmiş sertifikalı referans malzemelerin sertifika değerlerine,</w:t>
      </w:r>
    </w:p>
    <w:p w14:paraId="3BB55618" w14:textId="77777777" w:rsidR="004C6937" w:rsidRPr="00B241D9" w:rsidRDefault="004C6937" w:rsidP="0017086E">
      <w:pPr>
        <w:pStyle w:val="numaralandrma"/>
        <w:numPr>
          <w:ilvl w:val="0"/>
          <w:numId w:val="9"/>
        </w:numPr>
        <w:rPr>
          <w:color w:val="000000" w:themeColor="text1"/>
        </w:rPr>
      </w:pPr>
      <w:proofErr w:type="gramStart"/>
      <w:r w:rsidRPr="00B241D9">
        <w:rPr>
          <w:color w:val="000000" w:themeColor="text1"/>
        </w:rPr>
        <w:t>kullanım</w:t>
      </w:r>
      <w:proofErr w:type="gramEnd"/>
      <w:r w:rsidRPr="00B241D9">
        <w:rPr>
          <w:color w:val="000000" w:themeColor="text1"/>
        </w:rPr>
        <w:t xml:space="preserve"> amacına uygun olan ve uygun karşılaştırma yapılarak doğruluğu güvence altına alınmış ölçüm sonuçlarını sağlayan, açıkça tanımlanmış ve kabul edilmiş referans ölçüm prosedürlerinin, belirlenmiş yöntemlerin veya üzerinde uzlaşılan standartların sonuçlarına.</w:t>
      </w:r>
    </w:p>
    <w:p w14:paraId="36B4ACD0" w14:textId="77777777" w:rsidR="004C6937" w:rsidRPr="00B241D9" w:rsidRDefault="004C6937" w:rsidP="0017086E">
      <w:pPr>
        <w:rPr>
          <w:color w:val="000000" w:themeColor="text1"/>
        </w:rPr>
      </w:pPr>
      <w:r w:rsidRPr="00B241D9">
        <w:rPr>
          <w:color w:val="000000" w:themeColor="text1"/>
        </w:rPr>
        <w:t xml:space="preserve">Bu durumda TS EN ISO/IEC 17025’in </w:t>
      </w:r>
      <w:proofErr w:type="spellStart"/>
      <w:r w:rsidRPr="00B241D9">
        <w:rPr>
          <w:color w:val="000000" w:themeColor="text1"/>
        </w:rPr>
        <w:t>metrolojik</w:t>
      </w:r>
      <w:proofErr w:type="spellEnd"/>
      <w:r w:rsidRPr="00B241D9">
        <w:rPr>
          <w:color w:val="000000" w:themeColor="text1"/>
        </w:rPr>
        <w:t xml:space="preserve"> izlenebilirlikle ilgili şartlarını sağlayacak hizmetin seçimi kalibrasyon hizmeti alan laboratuvarın sorumluluğundadır. Kalibrasyon hizmeti alan laboratuvar bununla ilgili uygun ve </w:t>
      </w:r>
      <w:proofErr w:type="spellStart"/>
      <w:r w:rsidRPr="00B241D9">
        <w:rPr>
          <w:color w:val="000000" w:themeColor="text1"/>
        </w:rPr>
        <w:t>dokümante</w:t>
      </w:r>
      <w:proofErr w:type="spellEnd"/>
      <w:r w:rsidRPr="00B241D9">
        <w:rPr>
          <w:color w:val="000000" w:themeColor="text1"/>
        </w:rPr>
        <w:t xml:space="preserve"> edilmiş delilleri sunmalıdır. </w:t>
      </w:r>
    </w:p>
    <w:p w14:paraId="4C567616" w14:textId="77777777" w:rsidR="004C6937" w:rsidRPr="00B241D9" w:rsidRDefault="004C6937" w:rsidP="0089635F">
      <w:pPr>
        <w:pStyle w:val="Balk2"/>
        <w:rPr>
          <w:color w:val="000000" w:themeColor="text1"/>
        </w:rPr>
      </w:pPr>
      <w:r w:rsidRPr="00B241D9">
        <w:rPr>
          <w:color w:val="000000" w:themeColor="text1"/>
        </w:rPr>
        <w:t>4.4</w:t>
      </w:r>
      <w:r w:rsidR="0017086E" w:rsidRPr="00B241D9">
        <w:rPr>
          <w:color w:val="000000" w:themeColor="text1"/>
        </w:rPr>
        <w:t>.</w:t>
      </w:r>
      <w:r w:rsidRPr="00B241D9">
        <w:rPr>
          <w:color w:val="000000" w:themeColor="text1"/>
        </w:rPr>
        <w:t xml:space="preserve"> DSİ Laboratuvarlarında Cihaz Kalibrasyon İzlenebilirliğinin Takibi</w:t>
      </w:r>
    </w:p>
    <w:p w14:paraId="2BFD119F" w14:textId="23CA26B6" w:rsidR="004C6937" w:rsidRPr="00B241D9" w:rsidRDefault="004C6937" w:rsidP="0017086E">
      <w:pPr>
        <w:rPr>
          <w:color w:val="000000" w:themeColor="text1"/>
        </w:rPr>
      </w:pPr>
      <w:r w:rsidRPr="00B241D9">
        <w:rPr>
          <w:color w:val="000000" w:themeColor="text1"/>
        </w:rPr>
        <w:t>DSİ Laboratuvarlarında akredite kalibrasyon laboratuvarlarına yaptırılan kalibrasyonların sertifikaları P6.4 Donanım Prosedüründe belirtildiği gibi cihaz bazında değerlendirilerek izlenebilirliği takip edilir.</w:t>
      </w:r>
    </w:p>
    <w:p w14:paraId="1D3BDFB9" w14:textId="77777777" w:rsidR="00C740CC" w:rsidRPr="00B241D9" w:rsidRDefault="00C740CC" w:rsidP="00C740CC">
      <w:pPr>
        <w:spacing w:before="0" w:after="0" w:line="240" w:lineRule="auto"/>
        <w:rPr>
          <w:color w:val="000000" w:themeColor="text1"/>
        </w:rPr>
      </w:pPr>
    </w:p>
    <w:p w14:paraId="2699BC42" w14:textId="77777777" w:rsidR="004C6937" w:rsidRPr="00B241D9" w:rsidRDefault="004C6937" w:rsidP="0089635F">
      <w:pPr>
        <w:pStyle w:val="Balk1"/>
        <w:rPr>
          <w:color w:val="000000" w:themeColor="text1"/>
        </w:rPr>
      </w:pPr>
      <w:r w:rsidRPr="00B241D9">
        <w:rPr>
          <w:color w:val="000000" w:themeColor="text1"/>
        </w:rPr>
        <w:t>5. İLGİLİ DOKÜMANLAR</w:t>
      </w:r>
    </w:p>
    <w:p w14:paraId="24B8D2DC" w14:textId="00B8B661" w:rsidR="00C66AE6" w:rsidRPr="00B241D9" w:rsidRDefault="00C66AE6" w:rsidP="00C66AE6">
      <w:pPr>
        <w:pStyle w:val="ListeParagraf"/>
        <w:numPr>
          <w:ilvl w:val="0"/>
          <w:numId w:val="17"/>
        </w:numPr>
        <w:spacing w:after="60" w:line="240" w:lineRule="auto"/>
        <w:ind w:left="602" w:hanging="259"/>
        <w:rPr>
          <w:i/>
          <w:iCs/>
          <w:color w:val="000000" w:themeColor="text1"/>
          <w:szCs w:val="24"/>
        </w:rPr>
      </w:pPr>
      <w:r w:rsidRPr="00B241D9">
        <w:rPr>
          <w:i/>
          <w:iCs/>
          <w:color w:val="000000" w:themeColor="text1"/>
          <w:szCs w:val="24"/>
        </w:rPr>
        <w:t>TS EN ISO 17034 Referans Malzeme Üreticilerinin Yeterliliği İçin Genel Şartlar Standardı</w:t>
      </w:r>
    </w:p>
    <w:p w14:paraId="29EE0033" w14:textId="77777777" w:rsidR="00C66AE6" w:rsidRPr="00B241D9" w:rsidRDefault="00C66AE6" w:rsidP="00C66AE6">
      <w:pPr>
        <w:pStyle w:val="numaralandrma"/>
        <w:numPr>
          <w:ilvl w:val="0"/>
          <w:numId w:val="17"/>
        </w:numPr>
        <w:spacing w:after="60"/>
        <w:ind w:left="602" w:hanging="259"/>
        <w:rPr>
          <w:i/>
          <w:iCs/>
          <w:color w:val="000000" w:themeColor="text1"/>
        </w:rPr>
      </w:pPr>
      <w:r w:rsidRPr="00B241D9">
        <w:rPr>
          <w:i/>
          <w:iCs/>
          <w:color w:val="000000" w:themeColor="text1"/>
        </w:rPr>
        <w:t>ILAC G17 Deneylerde Ölçüm Belirsizliğine İlişkin ILAC Rehberleri</w:t>
      </w:r>
    </w:p>
    <w:p w14:paraId="50E90427" w14:textId="1B269A1B" w:rsidR="004772A1" w:rsidRPr="00B241D9" w:rsidRDefault="004772A1" w:rsidP="00C66AE6">
      <w:pPr>
        <w:pStyle w:val="ListeParagraf"/>
        <w:numPr>
          <w:ilvl w:val="0"/>
          <w:numId w:val="16"/>
        </w:numPr>
        <w:spacing w:after="60"/>
        <w:ind w:left="602" w:hanging="259"/>
        <w:rPr>
          <w:i/>
          <w:iCs/>
          <w:color w:val="000000" w:themeColor="text1"/>
        </w:rPr>
      </w:pPr>
      <w:r w:rsidRPr="00B241D9">
        <w:rPr>
          <w:i/>
          <w:iCs/>
          <w:color w:val="000000" w:themeColor="text1"/>
        </w:rPr>
        <w:t xml:space="preserve">ILAC G24 Ölçüm Cihazlarının Kalibrasyon Aralıklarını Belirlemeye Yönelik Rehber </w:t>
      </w:r>
    </w:p>
    <w:p w14:paraId="1651251C" w14:textId="364D0621" w:rsidR="004772A1" w:rsidRPr="00B241D9" w:rsidRDefault="004772A1" w:rsidP="00C66AE6">
      <w:pPr>
        <w:pStyle w:val="ListeParagraf"/>
        <w:numPr>
          <w:ilvl w:val="0"/>
          <w:numId w:val="16"/>
        </w:numPr>
        <w:spacing w:after="60"/>
        <w:ind w:left="602" w:hanging="259"/>
        <w:rPr>
          <w:i/>
          <w:iCs/>
          <w:color w:val="000000" w:themeColor="text1"/>
        </w:rPr>
      </w:pPr>
      <w:r w:rsidRPr="00B241D9">
        <w:rPr>
          <w:i/>
          <w:iCs/>
          <w:color w:val="000000" w:themeColor="text1"/>
        </w:rPr>
        <w:t>ILAC P10 Ölçüm Sonuçlarının İzlenebilirliğine İlişkin ILAC Politikası</w:t>
      </w:r>
    </w:p>
    <w:p w14:paraId="43F0ED17" w14:textId="1FFF4A26" w:rsidR="0088281F" w:rsidRPr="00B241D9" w:rsidRDefault="0088281F" w:rsidP="0088281F">
      <w:pPr>
        <w:pStyle w:val="ListeParagraf"/>
        <w:numPr>
          <w:ilvl w:val="0"/>
          <w:numId w:val="16"/>
        </w:numPr>
        <w:spacing w:after="60"/>
        <w:rPr>
          <w:i/>
          <w:iCs/>
          <w:color w:val="000000" w:themeColor="text1"/>
        </w:rPr>
      </w:pPr>
      <w:r w:rsidRPr="00B241D9">
        <w:rPr>
          <w:i/>
          <w:iCs/>
          <w:color w:val="000000" w:themeColor="text1"/>
        </w:rPr>
        <w:t>Uluslararası Metroloji Sözlüğü (VIM)</w:t>
      </w:r>
    </w:p>
    <w:p w14:paraId="4CCE6EF2" w14:textId="77777777" w:rsidR="00C66AE6" w:rsidRPr="00B241D9" w:rsidRDefault="00AD375A" w:rsidP="00C66AE6">
      <w:pPr>
        <w:pStyle w:val="ListeParagraf"/>
        <w:numPr>
          <w:ilvl w:val="0"/>
          <w:numId w:val="17"/>
        </w:numPr>
        <w:spacing w:after="60" w:line="240" w:lineRule="auto"/>
        <w:ind w:left="602" w:hanging="259"/>
        <w:rPr>
          <w:i/>
          <w:iCs/>
          <w:color w:val="000000" w:themeColor="text1"/>
          <w:szCs w:val="24"/>
        </w:rPr>
      </w:pPr>
      <w:r w:rsidRPr="00B241D9">
        <w:rPr>
          <w:i/>
          <w:iCs/>
          <w:color w:val="000000" w:themeColor="text1"/>
        </w:rPr>
        <w:t xml:space="preserve">TÜRKAK R10-12 </w:t>
      </w:r>
      <w:proofErr w:type="spellStart"/>
      <w:r w:rsidRPr="00B241D9">
        <w:rPr>
          <w:i/>
          <w:iCs/>
          <w:color w:val="000000" w:themeColor="text1"/>
        </w:rPr>
        <w:t>Metrolojik</w:t>
      </w:r>
      <w:proofErr w:type="spellEnd"/>
      <w:r w:rsidRPr="00B241D9">
        <w:rPr>
          <w:i/>
          <w:iCs/>
          <w:color w:val="000000" w:themeColor="text1"/>
        </w:rPr>
        <w:t xml:space="preserve"> İzlenebilirlik Rehberi</w:t>
      </w:r>
    </w:p>
    <w:p w14:paraId="27436C0C" w14:textId="77777777" w:rsidR="004772A1" w:rsidRPr="00B241D9" w:rsidRDefault="004772A1" w:rsidP="00C66AE6">
      <w:pPr>
        <w:pStyle w:val="ListeParagraf"/>
        <w:numPr>
          <w:ilvl w:val="0"/>
          <w:numId w:val="17"/>
        </w:numPr>
        <w:spacing w:after="60" w:line="240" w:lineRule="auto"/>
        <w:ind w:left="602" w:hanging="259"/>
        <w:rPr>
          <w:color w:val="000000" w:themeColor="text1"/>
          <w:szCs w:val="24"/>
        </w:rPr>
      </w:pPr>
      <w:r w:rsidRPr="00B241D9">
        <w:rPr>
          <w:color w:val="000000" w:themeColor="text1"/>
        </w:rPr>
        <w:t>P6.4 Donanım Prosedürü</w:t>
      </w:r>
    </w:p>
    <w:p w14:paraId="74032BF8" w14:textId="548447F4" w:rsidR="004772A1" w:rsidRPr="00B241D9" w:rsidRDefault="004772A1" w:rsidP="00C66AE6">
      <w:pPr>
        <w:pStyle w:val="ListeParagraf"/>
        <w:numPr>
          <w:ilvl w:val="0"/>
          <w:numId w:val="17"/>
        </w:numPr>
        <w:spacing w:after="60" w:line="240" w:lineRule="auto"/>
        <w:ind w:left="602" w:hanging="259"/>
        <w:rPr>
          <w:i/>
          <w:iCs/>
          <w:color w:val="000000" w:themeColor="text1"/>
        </w:rPr>
      </w:pPr>
      <w:r w:rsidRPr="00B241D9">
        <w:rPr>
          <w:i/>
          <w:iCs/>
          <w:color w:val="000000" w:themeColor="text1"/>
          <w:szCs w:val="24"/>
        </w:rPr>
        <w:t>F 0 16 00 19 Cihaz Listesi, Bakım ve Kalibrasyon Planı</w:t>
      </w:r>
    </w:p>
    <w:p w14:paraId="71C944C3" w14:textId="20F7FEC5" w:rsidR="004E54A8" w:rsidRPr="00B241D9" w:rsidRDefault="004E54A8" w:rsidP="00C66AE6">
      <w:pPr>
        <w:pStyle w:val="ListeParagraf"/>
        <w:numPr>
          <w:ilvl w:val="0"/>
          <w:numId w:val="17"/>
        </w:numPr>
        <w:spacing w:after="60" w:line="240" w:lineRule="auto"/>
        <w:ind w:left="602" w:hanging="259"/>
        <w:rPr>
          <w:i/>
          <w:iCs/>
          <w:color w:val="000000" w:themeColor="text1"/>
        </w:rPr>
      </w:pPr>
      <w:r w:rsidRPr="00B241D9">
        <w:rPr>
          <w:i/>
          <w:iCs/>
          <w:color w:val="000000" w:themeColor="text1"/>
          <w:szCs w:val="24"/>
        </w:rPr>
        <w:t>F 0 16 00 92 Cihaz Sicil, Bakım ve Onarım Formu</w:t>
      </w:r>
    </w:p>
    <w:p w14:paraId="1EAF03FC" w14:textId="77777777" w:rsidR="004C6937" w:rsidRPr="00B241D9" w:rsidRDefault="004C6937" w:rsidP="0017086E">
      <w:pPr>
        <w:pStyle w:val="Balk1"/>
        <w:rPr>
          <w:color w:val="000000" w:themeColor="text1"/>
        </w:rPr>
      </w:pPr>
      <w:r w:rsidRPr="00B241D9">
        <w:rPr>
          <w:color w:val="000000" w:themeColor="text1"/>
        </w:rPr>
        <w:lastRenderedPageBreak/>
        <w:t>6. REVİZYON TARİHÇESİ</w:t>
      </w: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1"/>
        <w:gridCol w:w="1418"/>
        <w:gridCol w:w="1163"/>
        <w:gridCol w:w="6208"/>
      </w:tblGrid>
      <w:tr w:rsidR="00B241D9" w:rsidRPr="00B241D9" w14:paraId="55AEB411" w14:textId="77777777" w:rsidTr="00EA5C36">
        <w:tc>
          <w:tcPr>
            <w:tcW w:w="1021" w:type="dxa"/>
          </w:tcPr>
          <w:p w14:paraId="3B38949E" w14:textId="77777777" w:rsidR="004C6937" w:rsidRPr="00B241D9" w:rsidRDefault="004C6937" w:rsidP="00851138">
            <w:pPr>
              <w:spacing w:after="240" w:line="240" w:lineRule="auto"/>
              <w:rPr>
                <w:b/>
                <w:color w:val="000000" w:themeColor="text1"/>
                <w:szCs w:val="24"/>
              </w:rPr>
            </w:pPr>
            <w:r w:rsidRPr="00B241D9">
              <w:rPr>
                <w:b/>
                <w:color w:val="000000" w:themeColor="text1"/>
                <w:szCs w:val="24"/>
              </w:rPr>
              <w:t>Sayfa No</w:t>
            </w:r>
          </w:p>
        </w:tc>
        <w:tc>
          <w:tcPr>
            <w:tcW w:w="1418" w:type="dxa"/>
          </w:tcPr>
          <w:p w14:paraId="04AA427A" w14:textId="77777777" w:rsidR="004C6937" w:rsidRPr="00B241D9" w:rsidRDefault="004C6937" w:rsidP="00851138">
            <w:pPr>
              <w:spacing w:after="240" w:line="240" w:lineRule="auto"/>
              <w:rPr>
                <w:b/>
                <w:color w:val="000000" w:themeColor="text1"/>
                <w:szCs w:val="24"/>
              </w:rPr>
            </w:pPr>
            <w:r w:rsidRPr="00B241D9">
              <w:rPr>
                <w:b/>
                <w:color w:val="000000" w:themeColor="text1"/>
                <w:szCs w:val="24"/>
              </w:rPr>
              <w:t xml:space="preserve">Revizyon Tarihi </w:t>
            </w:r>
          </w:p>
        </w:tc>
        <w:tc>
          <w:tcPr>
            <w:tcW w:w="1163" w:type="dxa"/>
          </w:tcPr>
          <w:p w14:paraId="12C4E3F7" w14:textId="77777777" w:rsidR="004C6937" w:rsidRPr="00B241D9" w:rsidRDefault="004C6937" w:rsidP="00851138">
            <w:pPr>
              <w:spacing w:after="240" w:line="240" w:lineRule="auto"/>
              <w:rPr>
                <w:b/>
                <w:color w:val="000000" w:themeColor="text1"/>
                <w:szCs w:val="24"/>
              </w:rPr>
            </w:pPr>
            <w:r w:rsidRPr="00B241D9">
              <w:rPr>
                <w:b/>
                <w:color w:val="000000" w:themeColor="text1"/>
                <w:szCs w:val="24"/>
              </w:rPr>
              <w:t>Revizyon No</w:t>
            </w:r>
          </w:p>
        </w:tc>
        <w:tc>
          <w:tcPr>
            <w:tcW w:w="6208" w:type="dxa"/>
            <w:shd w:val="clear" w:color="auto" w:fill="auto"/>
          </w:tcPr>
          <w:p w14:paraId="266A4390" w14:textId="77777777" w:rsidR="004C6937" w:rsidRPr="00B241D9" w:rsidRDefault="004C6937" w:rsidP="00851138">
            <w:pPr>
              <w:spacing w:after="240" w:line="240" w:lineRule="auto"/>
              <w:rPr>
                <w:b/>
                <w:color w:val="000000" w:themeColor="text1"/>
                <w:szCs w:val="24"/>
              </w:rPr>
            </w:pPr>
            <w:r w:rsidRPr="00B241D9">
              <w:rPr>
                <w:b/>
                <w:color w:val="000000" w:themeColor="text1"/>
                <w:szCs w:val="24"/>
              </w:rPr>
              <w:t>Revizyon Nedeni</w:t>
            </w:r>
          </w:p>
        </w:tc>
      </w:tr>
      <w:tr w:rsidR="00B241D9" w:rsidRPr="00B241D9" w14:paraId="755F8783" w14:textId="77777777" w:rsidTr="00EA5C36">
        <w:trPr>
          <w:trHeight w:val="567"/>
        </w:trPr>
        <w:tc>
          <w:tcPr>
            <w:tcW w:w="1021" w:type="dxa"/>
            <w:vAlign w:val="center"/>
          </w:tcPr>
          <w:p w14:paraId="2A3ED854" w14:textId="77777777" w:rsidR="004C6937" w:rsidRPr="00B241D9" w:rsidRDefault="004C6937" w:rsidP="00C740CC">
            <w:pPr>
              <w:spacing w:before="0" w:after="0" w:line="240" w:lineRule="auto"/>
              <w:jc w:val="center"/>
              <w:rPr>
                <w:color w:val="000000" w:themeColor="text1"/>
                <w:szCs w:val="24"/>
              </w:rPr>
            </w:pPr>
            <w:r w:rsidRPr="00B241D9">
              <w:rPr>
                <w:color w:val="000000" w:themeColor="text1"/>
                <w:szCs w:val="24"/>
              </w:rPr>
              <w:t>Tümü</w:t>
            </w:r>
          </w:p>
        </w:tc>
        <w:tc>
          <w:tcPr>
            <w:tcW w:w="1418" w:type="dxa"/>
            <w:vAlign w:val="center"/>
          </w:tcPr>
          <w:p w14:paraId="47FDD46C" w14:textId="08375C67" w:rsidR="004C6937" w:rsidRPr="00B241D9" w:rsidRDefault="001B255B" w:rsidP="00C740CC">
            <w:pPr>
              <w:spacing w:before="0" w:after="0" w:line="240" w:lineRule="auto"/>
              <w:jc w:val="center"/>
              <w:rPr>
                <w:color w:val="000000" w:themeColor="text1"/>
                <w:szCs w:val="24"/>
              </w:rPr>
            </w:pPr>
            <w:r w:rsidRPr="00B241D9">
              <w:rPr>
                <w:color w:val="000000" w:themeColor="text1"/>
                <w:szCs w:val="24"/>
              </w:rPr>
              <w:t>06</w:t>
            </w:r>
            <w:r w:rsidR="00387B64" w:rsidRPr="00B241D9">
              <w:rPr>
                <w:color w:val="000000" w:themeColor="text1"/>
                <w:szCs w:val="24"/>
              </w:rPr>
              <w:t>.0</w:t>
            </w:r>
            <w:r w:rsidRPr="00B241D9">
              <w:rPr>
                <w:color w:val="000000" w:themeColor="text1"/>
                <w:szCs w:val="24"/>
              </w:rPr>
              <w:t>5</w:t>
            </w:r>
            <w:r w:rsidR="00387B64" w:rsidRPr="00B241D9">
              <w:rPr>
                <w:color w:val="000000" w:themeColor="text1"/>
                <w:szCs w:val="24"/>
              </w:rPr>
              <w:t>.2019</w:t>
            </w:r>
          </w:p>
        </w:tc>
        <w:tc>
          <w:tcPr>
            <w:tcW w:w="1163" w:type="dxa"/>
            <w:vAlign w:val="center"/>
          </w:tcPr>
          <w:p w14:paraId="6FCB1F21" w14:textId="77777777" w:rsidR="004C6937" w:rsidRPr="00B241D9" w:rsidRDefault="004C6937" w:rsidP="00C740CC">
            <w:pPr>
              <w:spacing w:before="0" w:after="0" w:line="240" w:lineRule="auto"/>
              <w:jc w:val="center"/>
              <w:rPr>
                <w:color w:val="000000" w:themeColor="text1"/>
                <w:szCs w:val="24"/>
              </w:rPr>
            </w:pPr>
            <w:r w:rsidRPr="00B241D9">
              <w:rPr>
                <w:color w:val="000000" w:themeColor="text1"/>
                <w:szCs w:val="24"/>
              </w:rPr>
              <w:t>00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5E762468" w14:textId="77777777" w:rsidR="004C6937" w:rsidRPr="00B241D9" w:rsidRDefault="004C6937" w:rsidP="00C740CC">
            <w:pPr>
              <w:spacing w:before="0" w:after="0" w:line="240" w:lineRule="auto"/>
              <w:jc w:val="left"/>
              <w:rPr>
                <w:color w:val="000000" w:themeColor="text1"/>
                <w:szCs w:val="24"/>
              </w:rPr>
            </w:pPr>
            <w:r w:rsidRPr="00B241D9">
              <w:rPr>
                <w:color w:val="000000" w:themeColor="text1"/>
                <w:szCs w:val="24"/>
              </w:rPr>
              <w:t>İlk yayımlama</w:t>
            </w:r>
          </w:p>
        </w:tc>
      </w:tr>
      <w:tr w:rsidR="00AB3DB9" w:rsidRPr="00B241D9" w14:paraId="2A2834A3" w14:textId="77777777" w:rsidTr="00EA5C36">
        <w:trPr>
          <w:trHeight w:val="834"/>
        </w:trPr>
        <w:tc>
          <w:tcPr>
            <w:tcW w:w="1021" w:type="dxa"/>
            <w:shd w:val="clear" w:color="auto" w:fill="auto"/>
            <w:vAlign w:val="center"/>
          </w:tcPr>
          <w:p w14:paraId="6CDEB5B5" w14:textId="548A0058" w:rsidR="00AB3DB9" w:rsidRPr="00B241D9" w:rsidRDefault="00AB3DB9" w:rsidP="00AB3DB9">
            <w:pPr>
              <w:spacing w:before="0" w:after="0" w:line="240" w:lineRule="auto"/>
              <w:jc w:val="center"/>
              <w:rPr>
                <w:bCs/>
                <w:color w:val="000000" w:themeColor="text1"/>
                <w:szCs w:val="24"/>
              </w:rPr>
            </w:pPr>
            <w:r w:rsidRPr="00B241D9">
              <w:rPr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EDCA2E" w14:textId="5835F18D" w:rsidR="00AB3DB9" w:rsidRPr="00B241D9" w:rsidRDefault="008B7E5C" w:rsidP="00AB3DB9">
            <w:pPr>
              <w:spacing w:before="0" w:after="0" w:line="240" w:lineRule="auto"/>
              <w:jc w:val="center"/>
              <w:rPr>
                <w:bCs/>
                <w:color w:val="000000" w:themeColor="text1"/>
                <w:szCs w:val="24"/>
              </w:rPr>
            </w:pPr>
            <w:r w:rsidRPr="00B241D9">
              <w:rPr>
                <w:bCs/>
                <w:color w:val="000000" w:themeColor="text1"/>
                <w:szCs w:val="24"/>
              </w:rPr>
              <w:t>2</w:t>
            </w:r>
            <w:r w:rsidR="00D17892" w:rsidRPr="00B241D9">
              <w:rPr>
                <w:bCs/>
                <w:color w:val="000000" w:themeColor="text1"/>
                <w:szCs w:val="24"/>
              </w:rPr>
              <w:t>4</w:t>
            </w:r>
            <w:r w:rsidRPr="00B241D9">
              <w:rPr>
                <w:bCs/>
                <w:color w:val="000000" w:themeColor="text1"/>
                <w:szCs w:val="24"/>
              </w:rPr>
              <w:t>.01.2025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B721010" w14:textId="5195E1B4" w:rsidR="00AB3DB9" w:rsidRPr="00B241D9" w:rsidRDefault="00AB3DB9" w:rsidP="00AB3DB9">
            <w:pPr>
              <w:spacing w:before="0" w:after="0" w:line="240" w:lineRule="auto"/>
              <w:jc w:val="center"/>
              <w:rPr>
                <w:bCs/>
                <w:color w:val="000000" w:themeColor="text1"/>
                <w:szCs w:val="24"/>
              </w:rPr>
            </w:pPr>
            <w:r w:rsidRPr="00B241D9">
              <w:rPr>
                <w:bCs/>
                <w:color w:val="000000" w:themeColor="text1"/>
                <w:szCs w:val="24"/>
              </w:rPr>
              <w:t>01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51FB7BB3" w14:textId="60D25BCC" w:rsidR="00094853" w:rsidRPr="00B241D9" w:rsidRDefault="00AB3DB9" w:rsidP="00AB3DB9">
            <w:pPr>
              <w:spacing w:before="0" w:after="0" w:line="240" w:lineRule="auto"/>
              <w:jc w:val="left"/>
              <w:rPr>
                <w:color w:val="000000" w:themeColor="text1"/>
              </w:rPr>
            </w:pPr>
            <w:r w:rsidRPr="00B241D9">
              <w:rPr>
                <w:color w:val="000000" w:themeColor="text1"/>
              </w:rPr>
              <w:t xml:space="preserve">- </w:t>
            </w:r>
            <w:proofErr w:type="spellStart"/>
            <w:r w:rsidR="00094853" w:rsidRPr="00B241D9">
              <w:rPr>
                <w:color w:val="000000" w:themeColor="text1"/>
              </w:rPr>
              <w:t>Redaksiyonel</w:t>
            </w:r>
            <w:proofErr w:type="spellEnd"/>
            <w:r w:rsidR="00094853" w:rsidRPr="00B241D9">
              <w:rPr>
                <w:color w:val="000000" w:themeColor="text1"/>
              </w:rPr>
              <w:t xml:space="preserve"> düzeltme yapıldı,</w:t>
            </w:r>
          </w:p>
          <w:p w14:paraId="41DF2F59" w14:textId="29EEFEFC" w:rsidR="00AB3DB9" w:rsidRPr="00B241D9" w:rsidRDefault="00094853" w:rsidP="00472894">
            <w:pPr>
              <w:spacing w:before="0" w:after="0" w:line="240" w:lineRule="auto"/>
              <w:ind w:left="149" w:hanging="149"/>
              <w:jc w:val="left"/>
              <w:rPr>
                <w:bCs/>
                <w:color w:val="000000" w:themeColor="text1"/>
                <w:szCs w:val="24"/>
              </w:rPr>
            </w:pPr>
            <w:r w:rsidRPr="00B241D9">
              <w:rPr>
                <w:color w:val="000000" w:themeColor="text1"/>
              </w:rPr>
              <w:t xml:space="preserve">- </w:t>
            </w:r>
            <w:r w:rsidR="00AB3DB9" w:rsidRPr="00B241D9">
              <w:rPr>
                <w:color w:val="000000" w:themeColor="text1"/>
              </w:rPr>
              <w:t xml:space="preserve">Madde 5 İlgili Dokümanlara </w:t>
            </w:r>
            <w:r w:rsidR="0057159E" w:rsidRPr="00B241D9">
              <w:rPr>
                <w:color w:val="000000" w:themeColor="text1"/>
              </w:rPr>
              <w:t xml:space="preserve">iç ve dış kaynaklı </w:t>
            </w:r>
            <w:r w:rsidR="00AB3DB9" w:rsidRPr="00B241D9">
              <w:rPr>
                <w:color w:val="000000" w:themeColor="text1"/>
              </w:rPr>
              <w:t>dokümanlar eklendi.</w:t>
            </w:r>
          </w:p>
        </w:tc>
      </w:tr>
    </w:tbl>
    <w:p w14:paraId="637819BE" w14:textId="77777777" w:rsidR="004C6937" w:rsidRPr="00B241D9" w:rsidRDefault="004C6937" w:rsidP="004C6937">
      <w:pPr>
        <w:spacing w:after="240" w:line="240" w:lineRule="auto"/>
        <w:ind w:right="213"/>
        <w:rPr>
          <w:b/>
          <w:color w:val="000000" w:themeColor="text1"/>
          <w:szCs w:val="24"/>
        </w:rPr>
      </w:pPr>
    </w:p>
    <w:sectPr w:rsidR="004C6937" w:rsidRPr="00B241D9" w:rsidSect="00107DBD">
      <w:headerReference w:type="default" r:id="rId14"/>
      <w:footerReference w:type="default" r:id="rId15"/>
      <w:pgSz w:w="11906" w:h="16838" w:code="9"/>
      <w:pgMar w:top="567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8FA7C" w14:textId="77777777" w:rsidR="003407B4" w:rsidRDefault="003407B4" w:rsidP="00387B64">
      <w:pPr>
        <w:spacing w:after="0" w:line="240" w:lineRule="auto"/>
      </w:pPr>
      <w:r>
        <w:separator/>
      </w:r>
    </w:p>
  </w:endnote>
  <w:endnote w:type="continuationSeparator" w:id="0">
    <w:p w14:paraId="364B69FF" w14:textId="77777777" w:rsidR="003407B4" w:rsidRDefault="003407B4" w:rsidP="00387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1FCD2" w14:textId="77777777" w:rsidR="005C74FA" w:rsidRPr="00051792" w:rsidRDefault="00036B04" w:rsidP="00051792">
    <w:pPr>
      <w:pStyle w:val="Altbilgi1"/>
      <w:jc w:val="center"/>
    </w:pPr>
    <w:r w:rsidRPr="00905271">
      <w:rPr>
        <w:caps/>
        <w:color w:val="000000"/>
        <w:szCs w:val="24"/>
      </w:rPr>
      <w:t>Elektronik nüshadır. Basılmış hali kontrolsüz kopyadır</w:t>
    </w:r>
    <w:r w:rsidRPr="00051792">
      <w:rPr>
        <w:caps/>
        <w:color w:val="000000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29F92" w14:textId="77777777" w:rsidR="002E1DBA" w:rsidRPr="00387B64" w:rsidRDefault="00036B04" w:rsidP="002E1DBA">
    <w:pPr>
      <w:pStyle w:val="Altbilgi1"/>
      <w:jc w:val="center"/>
      <w:rPr>
        <w:szCs w:val="24"/>
      </w:rPr>
    </w:pPr>
    <w:r w:rsidRPr="00387B64">
      <w:rPr>
        <w:caps/>
        <w:color w:val="000000"/>
        <w:szCs w:val="24"/>
      </w:rPr>
      <w:t>Elektronik nüshadır. Basılmış hali kontrolsüz kopyadır.</w:t>
    </w:r>
  </w:p>
  <w:p w14:paraId="46709541" w14:textId="77777777" w:rsidR="002E1DBA" w:rsidRDefault="003407B4">
    <w:pPr>
      <w:pStyle w:val="Altbilgi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238A4" w14:textId="6337E54E" w:rsidR="00C20A77" w:rsidRPr="00387B64" w:rsidRDefault="00353113" w:rsidP="00F33B57">
    <w:pPr>
      <w:pStyle w:val="Altbilgi1"/>
      <w:tabs>
        <w:tab w:val="clear" w:pos="9072"/>
        <w:tab w:val="right" w:pos="9921"/>
      </w:tabs>
      <w:rPr>
        <w:bCs/>
        <w:szCs w:val="24"/>
      </w:rPr>
    </w:pPr>
    <w:r>
      <w:rPr>
        <w:szCs w:val="24"/>
      </w:rPr>
      <w:t>P6.5</w:t>
    </w:r>
    <w:r w:rsidR="00036B04" w:rsidRPr="00961943">
      <w:rPr>
        <w:color w:val="000000" w:themeColor="text1"/>
        <w:szCs w:val="24"/>
      </w:rPr>
      <w:t>/Rev0</w:t>
    </w:r>
    <w:r w:rsidR="00C740CC" w:rsidRPr="00961943">
      <w:rPr>
        <w:color w:val="000000" w:themeColor="text1"/>
        <w:szCs w:val="24"/>
      </w:rPr>
      <w:t>1</w:t>
    </w:r>
    <w:r w:rsidR="00036B04" w:rsidRPr="00961943">
      <w:rPr>
        <w:color w:val="000000" w:themeColor="text1"/>
        <w:szCs w:val="24"/>
      </w:rPr>
      <w:t>/</w:t>
    </w:r>
    <w:r w:rsidR="008B7E5C" w:rsidRPr="00961943">
      <w:rPr>
        <w:color w:val="000000" w:themeColor="text1"/>
        <w:szCs w:val="24"/>
      </w:rPr>
      <w:t>0125</w:t>
    </w:r>
    <w:r w:rsidR="00036B04" w:rsidRPr="00387B64">
      <w:rPr>
        <w:szCs w:val="24"/>
      </w:rPr>
      <w:tab/>
    </w:r>
    <w:r w:rsidR="00036B04" w:rsidRPr="00387B64">
      <w:rPr>
        <w:szCs w:val="24"/>
      </w:rPr>
      <w:tab/>
    </w:r>
    <w:r w:rsidR="00036B04" w:rsidRPr="00387B64">
      <w:rPr>
        <w:bCs/>
        <w:szCs w:val="24"/>
      </w:rPr>
      <w:fldChar w:fldCharType="begin"/>
    </w:r>
    <w:r w:rsidR="00036B04" w:rsidRPr="00387B64">
      <w:rPr>
        <w:bCs/>
        <w:szCs w:val="24"/>
      </w:rPr>
      <w:instrText>PAGE</w:instrText>
    </w:r>
    <w:r w:rsidR="00036B04" w:rsidRPr="00387B64">
      <w:rPr>
        <w:bCs/>
        <w:szCs w:val="24"/>
      </w:rPr>
      <w:fldChar w:fldCharType="separate"/>
    </w:r>
    <w:r w:rsidR="0088281F">
      <w:rPr>
        <w:bCs/>
        <w:noProof/>
        <w:szCs w:val="24"/>
      </w:rPr>
      <w:t>5</w:t>
    </w:r>
    <w:r w:rsidR="00036B04" w:rsidRPr="00387B64">
      <w:rPr>
        <w:bCs/>
        <w:szCs w:val="24"/>
      </w:rPr>
      <w:fldChar w:fldCharType="end"/>
    </w:r>
    <w:r w:rsidR="00036B04" w:rsidRPr="00387B64">
      <w:rPr>
        <w:szCs w:val="24"/>
      </w:rPr>
      <w:t xml:space="preserve"> / </w:t>
    </w:r>
    <w:r w:rsidR="00036B04" w:rsidRPr="00387B64">
      <w:rPr>
        <w:bCs/>
        <w:szCs w:val="24"/>
      </w:rPr>
      <w:fldChar w:fldCharType="begin"/>
    </w:r>
    <w:r w:rsidR="00036B04" w:rsidRPr="00387B64">
      <w:rPr>
        <w:bCs/>
        <w:szCs w:val="24"/>
      </w:rPr>
      <w:instrText>NUMPAGES</w:instrText>
    </w:r>
    <w:r w:rsidR="00036B04" w:rsidRPr="00387B64">
      <w:rPr>
        <w:bCs/>
        <w:szCs w:val="24"/>
      </w:rPr>
      <w:fldChar w:fldCharType="separate"/>
    </w:r>
    <w:r w:rsidR="0088281F">
      <w:rPr>
        <w:bCs/>
        <w:noProof/>
        <w:szCs w:val="24"/>
      </w:rPr>
      <w:t>5</w:t>
    </w:r>
    <w:r w:rsidR="00036B04" w:rsidRPr="00387B64">
      <w:rPr>
        <w:bCs/>
        <w:szCs w:val="24"/>
      </w:rPr>
      <w:fldChar w:fldCharType="end"/>
    </w:r>
  </w:p>
  <w:p w14:paraId="4FF39876" w14:textId="77777777" w:rsidR="005C74FA" w:rsidRPr="00387B64" w:rsidRDefault="00036B04" w:rsidP="00F33B57">
    <w:pPr>
      <w:pStyle w:val="Altbilgi1"/>
      <w:rPr>
        <w:szCs w:val="24"/>
      </w:rPr>
    </w:pPr>
    <w:r w:rsidRPr="00387B64">
      <w:rPr>
        <w:caps/>
        <w:color w:val="000000"/>
        <w:szCs w:val="24"/>
      </w:rPr>
      <w:t>Elektronik nüshadır. Basılmış hali kontrolsüz kopyadır.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D1438" w14:textId="77777777" w:rsidR="003407B4" w:rsidRDefault="003407B4" w:rsidP="00387B64">
      <w:pPr>
        <w:spacing w:after="0" w:line="240" w:lineRule="auto"/>
      </w:pPr>
      <w:r>
        <w:separator/>
      </w:r>
    </w:p>
  </w:footnote>
  <w:footnote w:type="continuationSeparator" w:id="0">
    <w:p w14:paraId="6741AF1D" w14:textId="77777777" w:rsidR="003407B4" w:rsidRDefault="003407B4" w:rsidP="00387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809"/>
      <w:gridCol w:w="6521"/>
      <w:gridCol w:w="1568"/>
    </w:tblGrid>
    <w:tr w:rsidR="00F05EC8" w:rsidRPr="00A4654D" w14:paraId="7C173901" w14:textId="77777777" w:rsidTr="00F05EC8">
      <w:trPr>
        <w:trHeight w:val="990"/>
      </w:trPr>
      <w:tc>
        <w:tcPr>
          <w:tcW w:w="1809" w:type="dxa"/>
          <w:vAlign w:val="center"/>
        </w:tcPr>
        <w:p w14:paraId="53D6A409" w14:textId="77777777" w:rsidR="00F05EC8" w:rsidRPr="00F05EC8" w:rsidRDefault="00036B04" w:rsidP="00C20A77">
          <w:pPr>
            <w:spacing w:after="0" w:line="240" w:lineRule="auto"/>
            <w:jc w:val="center"/>
            <w:rPr>
              <w:sz w:val="32"/>
              <w:szCs w:val="32"/>
            </w:rPr>
          </w:pPr>
          <w:r w:rsidRPr="00F05EC8">
            <w:rPr>
              <w:noProof/>
              <w:sz w:val="32"/>
              <w:szCs w:val="32"/>
              <w:lang w:eastAsia="tr-TR"/>
            </w:rPr>
            <w:drawing>
              <wp:inline distT="0" distB="0" distL="0" distR="0" wp14:anchorId="7B8D46F2" wp14:editId="75E7B5DC">
                <wp:extent cx="668655" cy="497840"/>
                <wp:effectExtent l="0" t="0" r="0" b="0"/>
                <wp:docPr id="2" name="Resim 1" descr="dsi_logo_s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dsi_logo_s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655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shd w:val="clear" w:color="auto" w:fill="auto"/>
          <w:vAlign w:val="center"/>
        </w:tcPr>
        <w:p w14:paraId="6C5FC0E3" w14:textId="77777777" w:rsidR="00F05EC8" w:rsidRPr="0017086E" w:rsidRDefault="00036B04" w:rsidP="00387B64">
          <w:pPr>
            <w:pStyle w:val="AralkYok"/>
            <w:jc w:val="center"/>
            <w:rPr>
              <w:b w:val="0"/>
              <w:color w:val="000000"/>
              <w:sz w:val="28"/>
              <w:szCs w:val="28"/>
            </w:rPr>
          </w:pPr>
          <w:proofErr w:type="spellStart"/>
          <w:r w:rsidRPr="0017086E">
            <w:rPr>
              <w:b w:val="0"/>
              <w:sz w:val="28"/>
              <w:szCs w:val="28"/>
            </w:rPr>
            <w:t>Metrolojik</w:t>
          </w:r>
          <w:proofErr w:type="spellEnd"/>
          <w:r w:rsidRPr="0017086E">
            <w:rPr>
              <w:b w:val="0"/>
              <w:sz w:val="28"/>
              <w:szCs w:val="28"/>
            </w:rPr>
            <w:t xml:space="preserve"> İzlenebilirlik Prosedürü</w:t>
          </w:r>
        </w:p>
      </w:tc>
      <w:tc>
        <w:tcPr>
          <w:tcW w:w="1568" w:type="dxa"/>
          <w:shd w:val="clear" w:color="auto" w:fill="auto"/>
          <w:vAlign w:val="center"/>
        </w:tcPr>
        <w:p w14:paraId="3077B994" w14:textId="77777777" w:rsidR="00F05EC8" w:rsidRPr="0017086E" w:rsidRDefault="00036B04" w:rsidP="00387B64">
          <w:pPr>
            <w:pStyle w:val="AralkYok"/>
            <w:jc w:val="center"/>
            <w:rPr>
              <w:b w:val="0"/>
              <w:sz w:val="28"/>
              <w:szCs w:val="28"/>
            </w:rPr>
          </w:pPr>
          <w:r w:rsidRPr="0017086E">
            <w:rPr>
              <w:b w:val="0"/>
              <w:color w:val="000000"/>
              <w:sz w:val="28"/>
              <w:szCs w:val="28"/>
            </w:rPr>
            <w:t>P6.5</w:t>
          </w:r>
        </w:p>
      </w:tc>
    </w:tr>
  </w:tbl>
  <w:p w14:paraId="21F2DE31" w14:textId="77777777" w:rsidR="005C74FA" w:rsidRDefault="003407B4" w:rsidP="00562150">
    <w:pPr>
      <w:pStyle w:val="stbilgi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0AB2"/>
    <w:multiLevelType w:val="hybridMultilevel"/>
    <w:tmpl w:val="E370BE32"/>
    <w:lvl w:ilvl="0" w:tplc="05AE3F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E0AF9"/>
    <w:multiLevelType w:val="hybridMultilevel"/>
    <w:tmpl w:val="6882994C"/>
    <w:lvl w:ilvl="0" w:tplc="DF881A26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2188E"/>
    <w:multiLevelType w:val="hybridMultilevel"/>
    <w:tmpl w:val="742ADD44"/>
    <w:lvl w:ilvl="0" w:tplc="DF881A26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-"/>
      <w:lvlJc w:val="left"/>
      <w:pPr>
        <w:ind w:left="107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35122DB4"/>
    <w:multiLevelType w:val="hybridMultilevel"/>
    <w:tmpl w:val="B510BE0A"/>
    <w:lvl w:ilvl="0" w:tplc="DF881A26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5E87"/>
    <w:multiLevelType w:val="hybridMultilevel"/>
    <w:tmpl w:val="48B82642"/>
    <w:lvl w:ilvl="0" w:tplc="DAD2650C">
      <w:start w:val="5"/>
      <w:numFmt w:val="bullet"/>
      <w:lvlText w:val="-"/>
      <w:lvlJc w:val="left"/>
      <w:pPr>
        <w:ind w:left="1077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56401582"/>
    <w:multiLevelType w:val="hybridMultilevel"/>
    <w:tmpl w:val="53AA2C1C"/>
    <w:lvl w:ilvl="0" w:tplc="05AE3FF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F2F39"/>
    <w:multiLevelType w:val="hybridMultilevel"/>
    <w:tmpl w:val="98F225DC"/>
    <w:lvl w:ilvl="0" w:tplc="28E8B7EE">
      <w:start w:val="5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03022"/>
    <w:multiLevelType w:val="hybridMultilevel"/>
    <w:tmpl w:val="6882994C"/>
    <w:lvl w:ilvl="0" w:tplc="DF881A26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</w:num>
  <w:num w:numId="11">
    <w:abstractNumId w:val="1"/>
  </w:num>
  <w:num w:numId="12">
    <w:abstractNumId w:val="3"/>
  </w:num>
  <w:num w:numId="13">
    <w:abstractNumId w:val="2"/>
  </w:num>
  <w:num w:numId="14">
    <w:abstractNumId w:val="7"/>
  </w:num>
  <w:num w:numId="15">
    <w:abstractNumId w:val="5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ED2"/>
    <w:rsid w:val="0000269A"/>
    <w:rsid w:val="00036B04"/>
    <w:rsid w:val="00090733"/>
    <w:rsid w:val="00094853"/>
    <w:rsid w:val="000B79C8"/>
    <w:rsid w:val="000D5621"/>
    <w:rsid w:val="00116A6E"/>
    <w:rsid w:val="001368C5"/>
    <w:rsid w:val="0015792F"/>
    <w:rsid w:val="0017086E"/>
    <w:rsid w:val="001B255B"/>
    <w:rsid w:val="00212EB6"/>
    <w:rsid w:val="00271B94"/>
    <w:rsid w:val="002A5938"/>
    <w:rsid w:val="002B1B99"/>
    <w:rsid w:val="002B1E91"/>
    <w:rsid w:val="003407B4"/>
    <w:rsid w:val="00340DDC"/>
    <w:rsid w:val="00353113"/>
    <w:rsid w:val="00387B64"/>
    <w:rsid w:val="00420A5F"/>
    <w:rsid w:val="00440F1F"/>
    <w:rsid w:val="00472894"/>
    <w:rsid w:val="004772A1"/>
    <w:rsid w:val="004917A4"/>
    <w:rsid w:val="004C6937"/>
    <w:rsid w:val="004E54A8"/>
    <w:rsid w:val="00502FB9"/>
    <w:rsid w:val="0050341B"/>
    <w:rsid w:val="00507A8F"/>
    <w:rsid w:val="00525CC6"/>
    <w:rsid w:val="00562150"/>
    <w:rsid w:val="0057159E"/>
    <w:rsid w:val="005A63C3"/>
    <w:rsid w:val="00626526"/>
    <w:rsid w:val="006A2E98"/>
    <w:rsid w:val="00741ED2"/>
    <w:rsid w:val="007E513C"/>
    <w:rsid w:val="00833C10"/>
    <w:rsid w:val="00841FFA"/>
    <w:rsid w:val="00844A4D"/>
    <w:rsid w:val="0088281F"/>
    <w:rsid w:val="0089635F"/>
    <w:rsid w:val="008B7E5C"/>
    <w:rsid w:val="00905271"/>
    <w:rsid w:val="009077B8"/>
    <w:rsid w:val="00961943"/>
    <w:rsid w:val="00A16E43"/>
    <w:rsid w:val="00AA19FB"/>
    <w:rsid w:val="00AB3DB9"/>
    <w:rsid w:val="00AD375A"/>
    <w:rsid w:val="00B241D9"/>
    <w:rsid w:val="00B87096"/>
    <w:rsid w:val="00BD15DA"/>
    <w:rsid w:val="00C47D05"/>
    <w:rsid w:val="00C51C11"/>
    <w:rsid w:val="00C53E12"/>
    <w:rsid w:val="00C656CC"/>
    <w:rsid w:val="00C66AE6"/>
    <w:rsid w:val="00C740CC"/>
    <w:rsid w:val="00D1339B"/>
    <w:rsid w:val="00D17892"/>
    <w:rsid w:val="00D3773F"/>
    <w:rsid w:val="00D74F0A"/>
    <w:rsid w:val="00DE6CAE"/>
    <w:rsid w:val="00E56832"/>
    <w:rsid w:val="00EA3804"/>
    <w:rsid w:val="00EA5C36"/>
    <w:rsid w:val="00EB0D38"/>
    <w:rsid w:val="00EF744C"/>
    <w:rsid w:val="00F2513B"/>
    <w:rsid w:val="00F32363"/>
    <w:rsid w:val="00F42A9D"/>
    <w:rsid w:val="00F57CBA"/>
    <w:rsid w:val="00F8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97CF5"/>
  <w15:chartTrackingRefBased/>
  <w15:docId w15:val="{7CB332F1-BD46-41D0-9045-5050D551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A8F"/>
    <w:pPr>
      <w:spacing w:before="60" w:after="200" w:line="276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89635F"/>
    <w:pPr>
      <w:keepNext/>
      <w:spacing w:after="60" w:line="240" w:lineRule="auto"/>
      <w:outlineLvl w:val="0"/>
    </w:pPr>
    <w:rPr>
      <w:rFonts w:eastAsia="Times New Roman"/>
      <w:b/>
      <w:szCs w:val="20"/>
    </w:rPr>
  </w:style>
  <w:style w:type="paragraph" w:styleId="Balk2">
    <w:name w:val="heading 2"/>
    <w:basedOn w:val="Normal"/>
    <w:next w:val="Normal"/>
    <w:link w:val="Balk2Char"/>
    <w:qFormat/>
    <w:rsid w:val="0089635F"/>
    <w:pPr>
      <w:keepNext/>
      <w:spacing w:after="60" w:line="240" w:lineRule="auto"/>
      <w:outlineLvl w:val="1"/>
    </w:pPr>
    <w:rPr>
      <w:rFonts w:eastAsia="Times New Roman" w:cs="Arial"/>
      <w:b/>
      <w:bCs/>
      <w:iCs/>
      <w:szCs w:val="28"/>
    </w:rPr>
  </w:style>
  <w:style w:type="paragraph" w:styleId="Balk4">
    <w:name w:val="heading 4"/>
    <w:basedOn w:val="Normal"/>
    <w:next w:val="Normal"/>
    <w:link w:val="Balk4Char"/>
    <w:qFormat/>
    <w:rsid w:val="004C6937"/>
    <w:pPr>
      <w:keepNext/>
      <w:spacing w:after="0" w:line="240" w:lineRule="auto"/>
      <w:outlineLvl w:val="3"/>
    </w:pPr>
    <w:rPr>
      <w:rFonts w:eastAsia="Times New Roman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9635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alk2Char">
    <w:name w:val="Başlık 2 Char"/>
    <w:basedOn w:val="VarsaylanParagrafYazTipi"/>
    <w:link w:val="Balk2"/>
    <w:rsid w:val="0089635F"/>
    <w:rPr>
      <w:rFonts w:ascii="Times New Roman" w:eastAsia="Times New Roman" w:hAnsi="Times New Roman" w:cs="Arial"/>
      <w:b/>
      <w:bCs/>
      <w:iCs/>
      <w:sz w:val="24"/>
      <w:szCs w:val="28"/>
    </w:rPr>
  </w:style>
  <w:style w:type="character" w:customStyle="1" w:styleId="Balk4Char">
    <w:name w:val="Başlık 4 Char"/>
    <w:basedOn w:val="VarsaylanParagrafYazTipi"/>
    <w:link w:val="Balk4"/>
    <w:rsid w:val="004C6937"/>
    <w:rPr>
      <w:rFonts w:ascii="Times New Roman" w:eastAsia="Times New Roman" w:hAnsi="Times New Roman" w:cs="Times New Roman"/>
      <w:sz w:val="24"/>
      <w:szCs w:val="24"/>
    </w:rPr>
  </w:style>
  <w:style w:type="paragraph" w:customStyle="1" w:styleId="stbilgi1">
    <w:name w:val="Üstbilgi1"/>
    <w:basedOn w:val="Normal"/>
    <w:link w:val="stbilgiChar"/>
    <w:unhideWhenUsed/>
    <w:rsid w:val="004C6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1"/>
    <w:rsid w:val="004C6937"/>
    <w:rPr>
      <w:rFonts w:ascii="Calibri" w:eastAsia="Calibri" w:hAnsi="Calibri" w:cs="Times New Roman"/>
    </w:rPr>
  </w:style>
  <w:style w:type="paragraph" w:customStyle="1" w:styleId="Altbilgi1">
    <w:name w:val="Altbilgi1"/>
    <w:basedOn w:val="Normal"/>
    <w:link w:val="AltbilgiChar"/>
    <w:uiPriority w:val="99"/>
    <w:unhideWhenUsed/>
    <w:rsid w:val="004C6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1"/>
    <w:uiPriority w:val="99"/>
    <w:rsid w:val="004C6937"/>
    <w:rPr>
      <w:rFonts w:ascii="Calibri" w:eastAsia="Calibri" w:hAnsi="Calibri" w:cs="Times New Roman"/>
    </w:rPr>
  </w:style>
  <w:style w:type="paragraph" w:styleId="GvdeMetni">
    <w:name w:val="Body Text"/>
    <w:basedOn w:val="Normal"/>
    <w:link w:val="GvdeMetniChar"/>
    <w:rsid w:val="004C6937"/>
    <w:pPr>
      <w:spacing w:after="0" w:line="240" w:lineRule="auto"/>
    </w:pPr>
    <w:rPr>
      <w:rFonts w:eastAsia="Times New Roman"/>
      <w:szCs w:val="20"/>
    </w:rPr>
  </w:style>
  <w:style w:type="character" w:customStyle="1" w:styleId="GvdeMetniChar">
    <w:name w:val="Gövde Metni Char"/>
    <w:basedOn w:val="VarsaylanParagrafYazTipi"/>
    <w:link w:val="GvdeMetni"/>
    <w:rsid w:val="004C6937"/>
    <w:rPr>
      <w:rFonts w:ascii="Times New Roman" w:eastAsia="Times New Roman" w:hAnsi="Times New Roman" w:cs="Times New Roman"/>
      <w:sz w:val="24"/>
      <w:szCs w:val="20"/>
    </w:rPr>
  </w:style>
  <w:style w:type="paragraph" w:styleId="AralkYok">
    <w:name w:val="No Spacing"/>
    <w:link w:val="AralkYokChar"/>
    <w:uiPriority w:val="1"/>
    <w:qFormat/>
    <w:rsid w:val="00507A8F"/>
    <w:pPr>
      <w:spacing w:after="0" w:line="240" w:lineRule="auto"/>
      <w:jc w:val="both"/>
    </w:pPr>
    <w:rPr>
      <w:rFonts w:ascii="Times New Roman" w:eastAsia="Calibri" w:hAnsi="Times New Roman" w:cs="Times New Roman"/>
      <w:b/>
      <w:sz w:val="24"/>
    </w:rPr>
  </w:style>
  <w:style w:type="paragraph" w:styleId="ListeParagraf">
    <w:name w:val="List Paragraph"/>
    <w:basedOn w:val="Normal"/>
    <w:link w:val="ListeParagrafChar"/>
    <w:uiPriority w:val="34"/>
    <w:qFormat/>
    <w:rsid w:val="004C6937"/>
    <w:pPr>
      <w:ind w:left="708"/>
    </w:pPr>
  </w:style>
  <w:style w:type="character" w:customStyle="1" w:styleId="AralkYokChar">
    <w:name w:val="Aralık Yok Char"/>
    <w:link w:val="AralkYok"/>
    <w:uiPriority w:val="1"/>
    <w:rsid w:val="00507A8F"/>
    <w:rPr>
      <w:rFonts w:ascii="Times New Roman" w:eastAsia="Calibri" w:hAnsi="Times New Roman" w:cs="Times New Roman"/>
      <w:b/>
      <w:sz w:val="24"/>
    </w:rPr>
  </w:style>
  <w:style w:type="paragraph" w:styleId="stBilgi">
    <w:name w:val="header"/>
    <w:basedOn w:val="Normal"/>
    <w:link w:val="stBilgiChar0"/>
    <w:uiPriority w:val="99"/>
    <w:unhideWhenUsed/>
    <w:rsid w:val="00387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387B64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0"/>
    <w:uiPriority w:val="99"/>
    <w:unhideWhenUsed/>
    <w:rsid w:val="00387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rsid w:val="00387B64"/>
    <w:rPr>
      <w:rFonts w:ascii="Calibri" w:eastAsia="Calibri" w:hAnsi="Calibri" w:cs="Times New Roman"/>
    </w:rPr>
  </w:style>
  <w:style w:type="paragraph" w:customStyle="1" w:styleId="numaralandrma">
    <w:name w:val="numaralandırma"/>
    <w:basedOn w:val="ListeParagraf"/>
    <w:link w:val="numaralandrmaChar"/>
    <w:qFormat/>
    <w:rsid w:val="0089635F"/>
    <w:pPr>
      <w:ind w:left="0"/>
    </w:pPr>
    <w:rPr>
      <w:color w:val="000000"/>
      <w:szCs w:val="24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89635F"/>
    <w:rPr>
      <w:rFonts w:ascii="Times New Roman" w:eastAsia="Calibri" w:hAnsi="Times New Roman" w:cs="Times New Roman"/>
      <w:sz w:val="24"/>
    </w:rPr>
  </w:style>
  <w:style w:type="character" w:customStyle="1" w:styleId="numaralandrmaChar">
    <w:name w:val="numaralandırma Char"/>
    <w:basedOn w:val="ListeParagrafChar"/>
    <w:link w:val="numaralandrma"/>
    <w:rsid w:val="0089635F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AEB72A43C0D9944A18732C140996BEF" ma:contentTypeVersion="1" ma:contentTypeDescription="Yeni belge oluşturun." ma:contentTypeScope="" ma:versionID="b24cf7f0144e77356177487065bc16ed">
  <xsd:schema xmlns:xsd="http://www.w3.org/2001/XMLSchema" xmlns:xs="http://www.w3.org/2001/XMLSchema" xmlns:p="http://schemas.microsoft.com/office/2006/metadata/properties" xmlns:ns2="6807f23d-9adf-4297-b455-3f1cbb06756c" targetNamespace="http://schemas.microsoft.com/office/2006/metadata/properties" ma:root="true" ma:fieldsID="76cc10ec5f0104505efdd28cdbb73214" ns2:_="">
    <xsd:import namespace="6807f23d-9adf-4297-b455-3f1cbb0675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f23d-9adf-4297-b455-3f1cbb0675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11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807f23d-9adf-4297-b455-3f1cbb06756c">ZTRF6UCTME4S-96-5396</_dlc_DocId>
    <_dlc_DocIdUrl xmlns="6807f23d-9adf-4297-b455-3f1cbb06756c">
      <Url>https://paylasim.dsi.gov.tr/DaireBaskanliklari/TAKK/akreditasyon/_layouts/15/DocIdRedir.aspx?ID=ZTRF6UCTME4S-96-5396</Url>
      <Description>ZTRF6UCTME4S-96-5396</Description>
    </_dlc_DocIdUrl>
  </documentManagement>
</p:properties>
</file>

<file path=customXml/itemProps1.xml><?xml version="1.0" encoding="utf-8"?>
<ds:datastoreItem xmlns:ds="http://schemas.openxmlformats.org/officeDocument/2006/customXml" ds:itemID="{27B4E50B-12D3-4E0F-8822-72A703E9C3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753515-3850-475A-BDEB-3437F157E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f23d-9adf-4297-b455-3f1cbb0675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FA734A-182F-4F56-8FC0-537482A19A2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B710369-D8AB-4F54-993A-F46087B3F237}">
  <ds:schemaRefs>
    <ds:schemaRef ds:uri="http://schemas.microsoft.com/office/2006/metadata/properties"/>
    <ds:schemaRef ds:uri="http://schemas.microsoft.com/office/infopath/2007/PartnerControls"/>
    <ds:schemaRef ds:uri="6807f23d-9adf-4297-b455-3f1cbb0675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 Kaya</dc:creator>
  <cp:keywords/>
  <dc:description/>
  <cp:lastModifiedBy>Oya Sümer</cp:lastModifiedBy>
  <cp:revision>17</cp:revision>
  <dcterms:created xsi:type="dcterms:W3CDTF">2025-01-21T12:58:00Z</dcterms:created>
  <dcterms:modified xsi:type="dcterms:W3CDTF">2025-01-24T11:56:00Z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b03f2d3f-0585-4637-b350-e6b9fc60107b</vt:lpwstr>
  </property>
  <property fmtid="{D5CDD505-2E9C-101B-9397-08002B2CF9AE}" pid="3" name="ContentTypeId">
    <vt:lpwstr>0x0101000AEB72A43C0D9944A18732C140996BEF</vt:lpwstr>
  </property>
</Properties>
</file>