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48" w:rsidRDefault="001312F6" w:rsidP="001312F6">
      <w:pPr>
        <w:jc w:val="center"/>
        <w:rPr>
          <w:rFonts w:ascii="Times New Roman" w:hAnsi="Times New Roman" w:cs="Times New Roman"/>
          <w:b/>
          <w:sz w:val="24"/>
        </w:rPr>
      </w:pPr>
      <w:r w:rsidRPr="001312F6">
        <w:rPr>
          <w:rFonts w:ascii="Times New Roman" w:hAnsi="Times New Roman" w:cs="Times New Roman"/>
          <w:b/>
          <w:sz w:val="24"/>
        </w:rPr>
        <w:t>DSİ ŞANLIURFA 15. BÖLGE MÜDÜRLÜĞÜ TAŞINMAZ MAL SATIŞ İLANI</w:t>
      </w:r>
    </w:p>
    <w:p w:rsidR="00260852" w:rsidRDefault="00260852" w:rsidP="00FD3927">
      <w:pPr>
        <w:jc w:val="both"/>
        <w:rPr>
          <w:rFonts w:ascii="Times New Roman" w:hAnsi="Times New Roman" w:cs="Times New Roman"/>
        </w:rPr>
        <w:sectPr w:rsidR="00260852" w:rsidSect="0026085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3927" w:rsidRPr="00260852" w:rsidRDefault="001312F6" w:rsidP="00FD3927">
      <w:p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Aşağıda ve (Ek-1) tabloda nitelikleri belirtilen DSİ Genel Müdürlüğüne ait olan taşınmazlar 2886 Sayılı Devlet İhale Kanunu</w:t>
      </w:r>
      <w:r w:rsidR="00FD3927" w:rsidRPr="00260852">
        <w:rPr>
          <w:rFonts w:ascii="Times New Roman" w:hAnsi="Times New Roman" w:cs="Times New Roman"/>
          <w:sz w:val="20"/>
        </w:rPr>
        <w:t xml:space="preserve"> 45. maddesi ile “DSİ Genel Müdürlüğü Taşınmaz Mal Satışı Ve Kiraya Verilmesine Ait Yönetmelik” gereğince açık artırma usulü ihale yolu ile satışı yapılacaktır.</w:t>
      </w:r>
    </w:p>
    <w:p w:rsidR="00FD3927" w:rsidRPr="00260852" w:rsidRDefault="00FD3927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İhale; 13.02.2023 Pazartesi günü saat 14.00’ te DSİ Şanlıurfa 15. Bölge Müdürlüğü Fırat Toplantı Salonunda yapılacaktır.</w:t>
      </w:r>
    </w:p>
    <w:p w:rsidR="00FD3927" w:rsidRPr="00260852" w:rsidRDefault="00FD3927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Satışı yapılacak taşınmaz malların satış şartnamesi ve taşınmaz mallara ait her türlü bilgiler çalışma saatleri içerisinde DSİ 15. Bölge Müdürlüğü Emlak ve Kamulaştırma Şube </w:t>
      </w:r>
      <w:r w:rsidR="006261E3" w:rsidRPr="00260852">
        <w:rPr>
          <w:rFonts w:ascii="Times New Roman" w:hAnsi="Times New Roman" w:cs="Times New Roman"/>
          <w:sz w:val="20"/>
        </w:rPr>
        <w:t>Müdürlüğü’nden temin edilebilir.</w:t>
      </w:r>
    </w:p>
    <w:p w:rsidR="006261E3" w:rsidRPr="00260852" w:rsidRDefault="006261E3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Satışa konu taşınmazların muhammen bedeli KDV hariç aşağıda belirtilmiş olup, </w:t>
      </w:r>
      <w:r w:rsidR="00B93E01" w:rsidRPr="00260852">
        <w:rPr>
          <w:rFonts w:ascii="Times New Roman" w:hAnsi="Times New Roman" w:cs="Times New Roman"/>
          <w:sz w:val="20"/>
        </w:rPr>
        <w:t>geçici teminat muhammen bedelin %3’dür.</w:t>
      </w:r>
    </w:p>
    <w:p w:rsidR="00B93E01" w:rsidRPr="00260852" w:rsidRDefault="00B93E01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Geçici teminat 13.02.2023 pazartesi günü saat 14.00’e kadar DSİ 15. Bölge Müdürlüğünün TC Ziraat Bankası TR77000100226635</w:t>
      </w:r>
      <w:r w:rsidR="003417CD" w:rsidRPr="00260852">
        <w:rPr>
          <w:rFonts w:ascii="Times New Roman" w:hAnsi="Times New Roman" w:cs="Times New Roman"/>
          <w:sz w:val="20"/>
        </w:rPr>
        <w:t xml:space="preserve">6158725047 </w:t>
      </w:r>
      <w:proofErr w:type="spellStart"/>
      <w:r w:rsidR="003417CD" w:rsidRPr="00260852">
        <w:rPr>
          <w:rFonts w:ascii="Times New Roman" w:hAnsi="Times New Roman" w:cs="Times New Roman"/>
          <w:sz w:val="20"/>
        </w:rPr>
        <w:t>nolu</w:t>
      </w:r>
      <w:proofErr w:type="spellEnd"/>
      <w:r w:rsidR="003417CD" w:rsidRPr="00260852">
        <w:rPr>
          <w:rFonts w:ascii="Times New Roman" w:hAnsi="Times New Roman" w:cs="Times New Roman"/>
          <w:sz w:val="20"/>
        </w:rPr>
        <w:t xml:space="preserve"> hesabına yatırılabilir veya banka teminat mektubu olarak verilebilir.</w:t>
      </w:r>
    </w:p>
    <w:p w:rsidR="003417CD" w:rsidRPr="00260852" w:rsidRDefault="003417CD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Posta ile yapılacak başvurular kabul edilmeyecektir.</w:t>
      </w:r>
    </w:p>
    <w:p w:rsidR="003417CD" w:rsidRPr="00260852" w:rsidRDefault="003417CD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Satılacak taşınmazların satış şartnamesinde belirtilen hususları ile tapudaki </w:t>
      </w:r>
      <w:proofErr w:type="spellStart"/>
      <w:r w:rsidRPr="00260852">
        <w:rPr>
          <w:rFonts w:ascii="Times New Roman" w:hAnsi="Times New Roman" w:cs="Times New Roman"/>
          <w:sz w:val="20"/>
        </w:rPr>
        <w:t>takyidatları</w:t>
      </w:r>
      <w:proofErr w:type="spellEnd"/>
      <w:r w:rsidRPr="00260852">
        <w:rPr>
          <w:rFonts w:ascii="Times New Roman" w:hAnsi="Times New Roman" w:cs="Times New Roman"/>
          <w:sz w:val="20"/>
        </w:rPr>
        <w:t xml:space="preserve"> ihale edilen kişi tarafından aynen kabul edilmiş sayılır.</w:t>
      </w:r>
    </w:p>
    <w:p w:rsidR="003417CD" w:rsidRPr="00260852" w:rsidRDefault="003417CD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İhale ve satışla ilgili bütün vergi, harçlar, alım satım giderleri ve KDV’si ile binde 5,69 oranındaki karar pulu bedeli ihale edilene aittir.</w:t>
      </w:r>
    </w:p>
    <w:p w:rsidR="003417CD" w:rsidRPr="00260852" w:rsidRDefault="003417CD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Taşınmazlar açık artırma suretiyle ihale yolu ile satışı yapılacaktır.</w:t>
      </w:r>
    </w:p>
    <w:p w:rsidR="004C1894" w:rsidRPr="004C1894" w:rsidRDefault="003417CD" w:rsidP="004C189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Satılacak taşınmazların </w:t>
      </w:r>
      <w:r w:rsidR="00062214" w:rsidRPr="00260852">
        <w:rPr>
          <w:rFonts w:ascii="Times New Roman" w:hAnsi="Times New Roman" w:cs="Times New Roman"/>
          <w:sz w:val="20"/>
        </w:rPr>
        <w:t>imar durumları; aşağıdaki tabloda görüldüğü gibidir.</w:t>
      </w: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tbl>
      <w:tblPr>
        <w:tblStyle w:val="TabloKlavuzu"/>
        <w:tblpPr w:leftFromText="141" w:rightFromText="141" w:vertAnchor="text" w:horzAnchor="margin" w:tblpXSpec="center" w:tblpY="35"/>
        <w:tblW w:w="11725" w:type="dxa"/>
        <w:tblLook w:val="04A0" w:firstRow="1" w:lastRow="0" w:firstColumn="1" w:lastColumn="0" w:noHBand="0" w:noVBand="1"/>
      </w:tblPr>
      <w:tblGrid>
        <w:gridCol w:w="890"/>
        <w:gridCol w:w="963"/>
        <w:gridCol w:w="903"/>
        <w:gridCol w:w="650"/>
        <w:gridCol w:w="663"/>
        <w:gridCol w:w="983"/>
        <w:gridCol w:w="616"/>
        <w:gridCol w:w="550"/>
        <w:gridCol w:w="1021"/>
        <w:gridCol w:w="951"/>
        <w:gridCol w:w="996"/>
        <w:gridCol w:w="750"/>
        <w:gridCol w:w="846"/>
        <w:gridCol w:w="943"/>
      </w:tblGrid>
      <w:tr w:rsidR="00E10981" w:rsidRPr="00C62C69" w:rsidTr="00E10981">
        <w:trPr>
          <w:trHeight w:val="557"/>
        </w:trPr>
        <w:tc>
          <w:tcPr>
            <w:tcW w:w="89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İLİ</w:t>
            </w:r>
          </w:p>
        </w:tc>
        <w:tc>
          <w:tcPr>
            <w:tcW w:w="96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İLÇESİ</w:t>
            </w:r>
          </w:p>
        </w:tc>
        <w:tc>
          <w:tcPr>
            <w:tcW w:w="90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KÖYÜ / MAH</w:t>
            </w:r>
          </w:p>
        </w:tc>
        <w:tc>
          <w:tcPr>
            <w:tcW w:w="6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MEVKİİ</w:t>
            </w:r>
          </w:p>
        </w:tc>
        <w:tc>
          <w:tcPr>
            <w:tcW w:w="66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ADA / PARSEL</w:t>
            </w:r>
          </w:p>
        </w:tc>
        <w:tc>
          <w:tcPr>
            <w:tcW w:w="98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YÜZÖLÇÜMÜ</w:t>
            </w:r>
          </w:p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(m</w:t>
            </w:r>
            <w:r w:rsidRPr="00C62C69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2</w:t>
            </w: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616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CİNSİ</w:t>
            </w:r>
          </w:p>
        </w:tc>
        <w:tc>
          <w:tcPr>
            <w:tcW w:w="5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HİSSE</w:t>
            </w:r>
          </w:p>
        </w:tc>
        <w:tc>
          <w:tcPr>
            <w:tcW w:w="1021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MUHAMMEN BEDELİ (TL)</w:t>
            </w:r>
          </w:p>
        </w:tc>
        <w:tc>
          <w:tcPr>
            <w:tcW w:w="951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GEÇİCİ TEMİNAT (TL)</w:t>
            </w:r>
          </w:p>
        </w:tc>
        <w:tc>
          <w:tcPr>
            <w:tcW w:w="996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ADRES</w:t>
            </w:r>
          </w:p>
        </w:tc>
        <w:tc>
          <w:tcPr>
            <w:tcW w:w="7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İMAR DURUMU</w:t>
            </w:r>
          </w:p>
        </w:tc>
        <w:tc>
          <w:tcPr>
            <w:tcW w:w="846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İHALE TARİHİ VE SAATİ</w:t>
            </w:r>
          </w:p>
        </w:tc>
        <w:tc>
          <w:tcPr>
            <w:tcW w:w="94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0B6809">
              <w:rPr>
                <w:rFonts w:ascii="Times New Roman" w:hAnsi="Times New Roman" w:cs="Times New Roman"/>
                <w:sz w:val="10"/>
                <w:szCs w:val="16"/>
              </w:rPr>
              <w:t>AÇIKLAMA</w:t>
            </w:r>
          </w:p>
        </w:tc>
      </w:tr>
      <w:tr w:rsidR="00E10981" w:rsidRPr="00C62C69" w:rsidTr="00E10981">
        <w:trPr>
          <w:trHeight w:val="1218"/>
        </w:trPr>
        <w:tc>
          <w:tcPr>
            <w:tcW w:w="89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ŞANLIURFA</w:t>
            </w:r>
          </w:p>
        </w:tc>
        <w:tc>
          <w:tcPr>
            <w:tcW w:w="96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KARAKÖPRÜ</w:t>
            </w:r>
          </w:p>
        </w:tc>
        <w:tc>
          <w:tcPr>
            <w:tcW w:w="90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YARIMTEPE</w:t>
            </w:r>
          </w:p>
        </w:tc>
        <w:tc>
          <w:tcPr>
            <w:tcW w:w="6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ÇAY</w:t>
            </w:r>
          </w:p>
        </w:tc>
        <w:tc>
          <w:tcPr>
            <w:tcW w:w="663" w:type="dxa"/>
          </w:tcPr>
          <w:p w:rsidR="00E10981" w:rsidRPr="00C62C69" w:rsidRDefault="004B68DB" w:rsidP="00F82923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r w:rsidR="00F82923">
              <w:rPr>
                <w:rFonts w:ascii="Times New Roman" w:hAnsi="Times New Roman" w:cs="Times New Roman"/>
                <w:sz w:val="14"/>
                <w:szCs w:val="16"/>
              </w:rPr>
              <w:t xml:space="preserve">366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r w:rsidR="00E10981" w:rsidRPr="00C62C69">
              <w:rPr>
                <w:rFonts w:ascii="Times New Roman" w:hAnsi="Times New Roman" w:cs="Times New Roman"/>
                <w:sz w:val="14"/>
                <w:szCs w:val="16"/>
              </w:rPr>
              <w:t>367</w:t>
            </w:r>
            <w:r w:rsidR="00F8292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r w:rsidR="00E10981" w:rsidRPr="00C62C69">
              <w:rPr>
                <w:rFonts w:ascii="Times New Roman" w:hAnsi="Times New Roman" w:cs="Times New Roman"/>
                <w:sz w:val="14"/>
                <w:szCs w:val="16"/>
              </w:rPr>
              <w:t>516</w:t>
            </w:r>
          </w:p>
        </w:tc>
        <w:tc>
          <w:tcPr>
            <w:tcW w:w="983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6"/>
                <w:szCs w:val="16"/>
              </w:rPr>
              <w:t>123734,62</w:t>
            </w:r>
          </w:p>
        </w:tc>
        <w:tc>
          <w:tcPr>
            <w:tcW w:w="616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TARLA</w:t>
            </w:r>
          </w:p>
        </w:tc>
        <w:tc>
          <w:tcPr>
            <w:tcW w:w="5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2"/>
                <w:szCs w:val="16"/>
              </w:rPr>
              <w:t>TAM</w:t>
            </w:r>
          </w:p>
        </w:tc>
        <w:tc>
          <w:tcPr>
            <w:tcW w:w="1021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4"/>
                <w:szCs w:val="16"/>
              </w:rPr>
              <w:t>40.933.655,00</w:t>
            </w:r>
          </w:p>
        </w:tc>
        <w:tc>
          <w:tcPr>
            <w:tcW w:w="951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C62C69">
              <w:rPr>
                <w:rFonts w:ascii="Times New Roman" w:hAnsi="Times New Roman" w:cs="Times New Roman"/>
                <w:sz w:val="14"/>
                <w:szCs w:val="16"/>
              </w:rPr>
              <w:t>1.228.009,65</w:t>
            </w:r>
          </w:p>
        </w:tc>
        <w:tc>
          <w:tcPr>
            <w:tcW w:w="996" w:type="dxa"/>
          </w:tcPr>
          <w:p w:rsidR="00E10981" w:rsidRPr="00C62C69" w:rsidRDefault="00E10981" w:rsidP="002E663A">
            <w:pPr>
              <w:pStyle w:val="ListeParagraf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  <w:r w:rsidRPr="000B6809">
              <w:rPr>
                <w:rFonts w:ascii="Times New Roman" w:hAnsi="Times New Roman" w:cs="Times New Roman"/>
                <w:sz w:val="12"/>
                <w:szCs w:val="16"/>
              </w:rPr>
              <w:t>DSİ 15.BÖLGE MÜDÜRLÜĞÜ ŞANLIURFA</w:t>
            </w:r>
          </w:p>
        </w:tc>
        <w:tc>
          <w:tcPr>
            <w:tcW w:w="750" w:type="dxa"/>
          </w:tcPr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İMARSIZ</w:t>
            </w:r>
          </w:p>
        </w:tc>
        <w:tc>
          <w:tcPr>
            <w:tcW w:w="846" w:type="dxa"/>
          </w:tcPr>
          <w:p w:rsidR="00E10981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0B6809">
              <w:rPr>
                <w:rFonts w:ascii="Times New Roman" w:hAnsi="Times New Roman" w:cs="Times New Roman"/>
                <w:sz w:val="14"/>
                <w:szCs w:val="16"/>
              </w:rPr>
              <w:t>13.02.2023</w:t>
            </w:r>
          </w:p>
          <w:p w:rsidR="00E10981" w:rsidRPr="00C62C69" w:rsidRDefault="00E10981" w:rsidP="00E1098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SAAT: 14.00</w:t>
            </w:r>
          </w:p>
        </w:tc>
        <w:tc>
          <w:tcPr>
            <w:tcW w:w="943" w:type="dxa"/>
          </w:tcPr>
          <w:p w:rsidR="00E10981" w:rsidRPr="00C62C69" w:rsidRDefault="00E10981" w:rsidP="002E663A">
            <w:pPr>
              <w:pStyle w:val="ListeParagraf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2E663A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ADET PARSEL VE ÜZERİNDEKİ HAYVAN BESİ ÇİFTLİĞİ SATIŞI</w:t>
            </w:r>
          </w:p>
        </w:tc>
      </w:tr>
    </w:tbl>
    <w:p w:rsidR="004C1894" w:rsidRPr="000B6809" w:rsidRDefault="00E10981" w:rsidP="000B6809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HAYVAN BESİ ÇİFTLİĞİNE İLİŞKİN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2"/>
        <w:gridCol w:w="1502"/>
        <w:gridCol w:w="715"/>
        <w:gridCol w:w="766"/>
        <w:gridCol w:w="1134"/>
      </w:tblGrid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SN</w:t>
            </w: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0673F">
              <w:rPr>
                <w:rFonts w:ascii="Times New Roman" w:hAnsi="Times New Roman" w:cs="Times New Roman"/>
                <w:sz w:val="16"/>
              </w:rPr>
              <w:t>YAPI ADI</w:t>
            </w: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BOY</w:t>
            </w:r>
          </w:p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(m)</w:t>
            </w: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 (m)</w:t>
            </w:r>
          </w:p>
        </w:tc>
        <w:tc>
          <w:tcPr>
            <w:tcW w:w="1134" w:type="dxa"/>
          </w:tcPr>
          <w:p w:rsidR="00A0673F" w:rsidRP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0673F">
              <w:rPr>
                <w:rFonts w:ascii="Times New Roman" w:hAnsi="Times New Roman" w:cs="Times New Roman"/>
                <w:sz w:val="16"/>
              </w:rPr>
              <w:t>YAPI ALANI</w:t>
            </w:r>
            <w:r>
              <w:rPr>
                <w:rFonts w:ascii="Times New Roman" w:hAnsi="Times New Roman" w:cs="Times New Roman"/>
                <w:sz w:val="16"/>
              </w:rPr>
              <w:t xml:space="preserve"> (m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A0673F" w:rsidTr="00A0673F">
        <w:tc>
          <w:tcPr>
            <w:tcW w:w="472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0673F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02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37DD1">
              <w:rPr>
                <w:rFonts w:ascii="Times New Roman" w:hAnsi="Times New Roman" w:cs="Times New Roman"/>
                <w:sz w:val="18"/>
              </w:rPr>
              <w:t>Hayvan Barınağı</w:t>
            </w:r>
          </w:p>
        </w:tc>
        <w:tc>
          <w:tcPr>
            <w:tcW w:w="715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20,36</w:t>
            </w:r>
          </w:p>
        </w:tc>
        <w:tc>
          <w:tcPr>
            <w:tcW w:w="708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134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2422,84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2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37DD1">
              <w:rPr>
                <w:rFonts w:ascii="Times New Roman" w:hAnsi="Times New Roman" w:cs="Times New Roman"/>
                <w:sz w:val="18"/>
              </w:rPr>
              <w:t>Hayvan Barınağı</w:t>
            </w:r>
          </w:p>
        </w:tc>
        <w:tc>
          <w:tcPr>
            <w:tcW w:w="715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20,36</w:t>
            </w:r>
          </w:p>
        </w:tc>
        <w:tc>
          <w:tcPr>
            <w:tcW w:w="708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134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2422,84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02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37DD1">
              <w:rPr>
                <w:rFonts w:ascii="Times New Roman" w:hAnsi="Times New Roman" w:cs="Times New Roman"/>
                <w:sz w:val="18"/>
              </w:rPr>
              <w:t>Hayvan Barınağı</w:t>
            </w:r>
          </w:p>
        </w:tc>
        <w:tc>
          <w:tcPr>
            <w:tcW w:w="715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20,36</w:t>
            </w:r>
          </w:p>
        </w:tc>
        <w:tc>
          <w:tcPr>
            <w:tcW w:w="708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134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2422,84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Yem Haz. Bina</w:t>
            </w:r>
          </w:p>
        </w:tc>
        <w:tc>
          <w:tcPr>
            <w:tcW w:w="715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12,48</w:t>
            </w:r>
          </w:p>
        </w:tc>
        <w:tc>
          <w:tcPr>
            <w:tcW w:w="708" w:type="dxa"/>
          </w:tcPr>
          <w:p w:rsidR="00A0673F" w:rsidRDefault="00437DD1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47,15</w:t>
            </w:r>
          </w:p>
        </w:tc>
        <w:tc>
          <w:tcPr>
            <w:tcW w:w="1134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588,45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02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 Deposu</w:t>
            </w:r>
          </w:p>
        </w:tc>
        <w:tc>
          <w:tcPr>
            <w:tcW w:w="715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5,05</w:t>
            </w:r>
          </w:p>
        </w:tc>
        <w:tc>
          <w:tcPr>
            <w:tcW w:w="708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6,42</w:t>
            </w:r>
          </w:p>
        </w:tc>
        <w:tc>
          <w:tcPr>
            <w:tcW w:w="1134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32,41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02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Ofis</w:t>
            </w:r>
          </w:p>
        </w:tc>
        <w:tc>
          <w:tcPr>
            <w:tcW w:w="715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5,16</w:t>
            </w:r>
          </w:p>
        </w:tc>
        <w:tc>
          <w:tcPr>
            <w:tcW w:w="708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15,56</w:t>
            </w:r>
          </w:p>
        </w:tc>
        <w:tc>
          <w:tcPr>
            <w:tcW w:w="1134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80,28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02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Ofis</w:t>
            </w:r>
          </w:p>
        </w:tc>
        <w:tc>
          <w:tcPr>
            <w:tcW w:w="715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4,43</w:t>
            </w:r>
          </w:p>
        </w:tc>
        <w:tc>
          <w:tcPr>
            <w:tcW w:w="708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13,36</w:t>
            </w:r>
          </w:p>
        </w:tc>
        <w:tc>
          <w:tcPr>
            <w:tcW w:w="1134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59,18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02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 Çit</w:t>
            </w:r>
          </w:p>
        </w:tc>
        <w:tc>
          <w:tcPr>
            <w:tcW w:w="715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925,67</w:t>
            </w:r>
          </w:p>
        </w:tc>
        <w:tc>
          <w:tcPr>
            <w:tcW w:w="1134" w:type="dxa"/>
          </w:tcPr>
          <w:p w:rsidR="00A0673F" w:rsidRDefault="00BD0C5D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1851,34</w:t>
            </w: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73F" w:rsidTr="00A0673F">
        <w:tc>
          <w:tcPr>
            <w:tcW w:w="47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0673F" w:rsidRDefault="00A0673F" w:rsidP="00E109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2214" w:rsidRPr="00260852" w:rsidRDefault="00062214" w:rsidP="0006221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Komisyon İhaleyi yapıp yapmamakta serbesttir.</w:t>
      </w:r>
    </w:p>
    <w:p w:rsidR="00062214" w:rsidRPr="00260852" w:rsidRDefault="00062214" w:rsidP="0006221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İhale komisyonları tarafından alınan ihale kararları ita amirince karar tarihinden itibaren en geç 15 iş günü içerisinde onaylanır veya iptal edilir. İta amirlerince karar iptal edilirse ihale hükümsüz sayılır.</w:t>
      </w:r>
    </w:p>
    <w:p w:rsidR="00062214" w:rsidRPr="00260852" w:rsidRDefault="00062214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İta amirince onaylanan ihale kararının tebliğinden itibaren müşteri 15 gün içerisinde ihale bedelini yatırmak, ihaleyle ilgili vergi resim harç ve diğer giderleri ödemek ve tapu tescilini sağlamak zorundadır.</w:t>
      </w:r>
    </w:p>
    <w:p w:rsidR="00062214" w:rsidRPr="00260852" w:rsidRDefault="00062214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İş bu ihale ilanı genel bilgi mahiyetinde olup, satışta ihale şartnamesi hükümleri uygulanacaktır.</w:t>
      </w:r>
    </w:p>
    <w:p w:rsidR="00062214" w:rsidRPr="00260852" w:rsidRDefault="00062214" w:rsidP="00FD392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İstekl</w:t>
      </w:r>
      <w:r w:rsidR="00FD6BB4" w:rsidRPr="00260852">
        <w:rPr>
          <w:rFonts w:ascii="Times New Roman" w:hAnsi="Times New Roman" w:cs="Times New Roman"/>
          <w:sz w:val="20"/>
        </w:rPr>
        <w:t>ilerin belirtilen gün ve saatte, ihale yerinde hazır bulunmaları ve aşağıdaki belgeleri vermesi zorunludur.</w:t>
      </w:r>
    </w:p>
    <w:p w:rsidR="00FD6BB4" w:rsidRPr="00260852" w:rsidRDefault="00FD6BB4" w:rsidP="00FD6BB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Nüfus Cüzdanı Sureti (Gerçek Kişi Olması Halinde)</w:t>
      </w:r>
    </w:p>
    <w:p w:rsidR="00FD6BB4" w:rsidRPr="00260852" w:rsidRDefault="00FD6BB4" w:rsidP="00FD6BB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İkametgâh Belgesi (Gerçek Kişi Olması Halinde)</w:t>
      </w:r>
    </w:p>
    <w:p w:rsidR="00FD6BB4" w:rsidRPr="00260852" w:rsidRDefault="00FD6BB4" w:rsidP="00FD6BB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Tebligat için </w:t>
      </w:r>
      <w:r w:rsidR="00260852" w:rsidRPr="00260852">
        <w:rPr>
          <w:rFonts w:ascii="Times New Roman" w:hAnsi="Times New Roman" w:cs="Times New Roman"/>
          <w:sz w:val="20"/>
        </w:rPr>
        <w:t>Türkiye Cumhuriyeti sınırları içerisinde adres göstermesi (gösterilecek bu adrese yapılacak tüm tebligatlar kanuni ikametgâhına ve şahsına yapılmış tebligat olarak kabul edilecektir.)</w:t>
      </w:r>
    </w:p>
    <w:p w:rsidR="00260852" w:rsidRPr="00260852" w:rsidRDefault="00260852" w:rsidP="00FD6BB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>Tüzel kişilerde 2023 yılı Ticaret ve Sanayi Odası kayıt belgesi ile tüzel kişiler adına teklifte bulunacaklara verilmiş noter onaylı yetki belgesi ve imza sirküleri, ihaleye katılacak kişinin nüfus kayıt örneği.</w:t>
      </w:r>
    </w:p>
    <w:p w:rsidR="00260852" w:rsidRPr="00260852" w:rsidRDefault="00260852" w:rsidP="00FD6BB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Geçici teminat makbuzu, </w:t>
      </w:r>
      <w:proofErr w:type="gramStart"/>
      <w:r w:rsidRPr="00260852">
        <w:rPr>
          <w:rFonts w:ascii="Times New Roman" w:hAnsi="Times New Roman" w:cs="Times New Roman"/>
          <w:sz w:val="20"/>
        </w:rPr>
        <w:t>dekontu</w:t>
      </w:r>
      <w:proofErr w:type="gramEnd"/>
      <w:r w:rsidRPr="00260852">
        <w:rPr>
          <w:rFonts w:ascii="Times New Roman" w:hAnsi="Times New Roman" w:cs="Times New Roman"/>
          <w:sz w:val="20"/>
        </w:rPr>
        <w:t xml:space="preserve"> veya banka teminat mektubu (Aslı)</w:t>
      </w:r>
    </w:p>
    <w:p w:rsidR="00260852" w:rsidRDefault="00260852" w:rsidP="00260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260852">
        <w:rPr>
          <w:rFonts w:ascii="Times New Roman" w:hAnsi="Times New Roman" w:cs="Times New Roman"/>
          <w:sz w:val="20"/>
        </w:rPr>
        <w:t xml:space="preserve">Taşınmazlar teslim edildikten sonraki tüm hukuki sorumluluk ihaleyi kazanan istekliye ait olacaktır. </w:t>
      </w: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Default="004C1894" w:rsidP="004C1894">
      <w:pPr>
        <w:pStyle w:val="ListeParagraf"/>
        <w:jc w:val="both"/>
        <w:rPr>
          <w:rFonts w:ascii="Times New Roman" w:hAnsi="Times New Roman" w:cs="Times New Roman"/>
          <w:sz w:val="20"/>
        </w:rPr>
      </w:pPr>
    </w:p>
    <w:p w:rsidR="004C1894" w:rsidRPr="004C1894" w:rsidRDefault="00BD0C5D" w:rsidP="004C1894">
      <w:pPr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3F639949" wp14:editId="6AFC5577">
            <wp:extent cx="3143250" cy="2409825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311" t="31746" r="54365" b="36841"/>
                    <a:stretch/>
                  </pic:blipFill>
                  <pic:spPr bwMode="auto">
                    <a:xfrm>
                      <a:off x="0" y="0"/>
                      <a:ext cx="314325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1894" w:rsidRPr="004C1894" w:rsidSect="0026085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801"/>
    <w:multiLevelType w:val="hybridMultilevel"/>
    <w:tmpl w:val="81B6A362"/>
    <w:lvl w:ilvl="0" w:tplc="EE80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1602"/>
    <w:multiLevelType w:val="hybridMultilevel"/>
    <w:tmpl w:val="7AB85EBA"/>
    <w:lvl w:ilvl="0" w:tplc="4E929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445B"/>
    <w:multiLevelType w:val="hybridMultilevel"/>
    <w:tmpl w:val="7F1CB9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5784D"/>
    <w:multiLevelType w:val="hybridMultilevel"/>
    <w:tmpl w:val="982414E4"/>
    <w:lvl w:ilvl="0" w:tplc="2A7E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42"/>
    <w:rsid w:val="00062214"/>
    <w:rsid w:val="000B6809"/>
    <w:rsid w:val="001312F6"/>
    <w:rsid w:val="00260852"/>
    <w:rsid w:val="002E663A"/>
    <w:rsid w:val="003417CD"/>
    <w:rsid w:val="00437DD1"/>
    <w:rsid w:val="004B68DB"/>
    <w:rsid w:val="004C1894"/>
    <w:rsid w:val="005C2A48"/>
    <w:rsid w:val="006261E3"/>
    <w:rsid w:val="00A0673F"/>
    <w:rsid w:val="00B93E01"/>
    <w:rsid w:val="00BD0C5D"/>
    <w:rsid w:val="00C62C69"/>
    <w:rsid w:val="00E10981"/>
    <w:rsid w:val="00F82923"/>
    <w:rsid w:val="00F93C42"/>
    <w:rsid w:val="00FD3927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57AEA"/>
  <w15:chartTrackingRefBased/>
  <w15:docId w15:val="{8A16A9C4-6D59-446D-9F08-63EC440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3927"/>
    <w:pPr>
      <w:ind w:left="720"/>
      <w:contextualSpacing/>
    </w:pPr>
  </w:style>
  <w:style w:type="table" w:styleId="TabloKlavuzu">
    <w:name w:val="Table Grid"/>
    <w:basedOn w:val="NormalTablo"/>
    <w:uiPriority w:val="39"/>
    <w:rsid w:val="004C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Tuna</dc:creator>
  <cp:keywords/>
  <dc:description/>
  <cp:lastModifiedBy>İsmail Tuna</cp:lastModifiedBy>
  <cp:revision>10</cp:revision>
  <cp:lastPrinted>2023-01-20T11:49:00Z</cp:lastPrinted>
  <dcterms:created xsi:type="dcterms:W3CDTF">2023-01-20T07:13:00Z</dcterms:created>
  <dcterms:modified xsi:type="dcterms:W3CDTF">2023-01-23T11:21:00Z</dcterms:modified>
</cp:coreProperties>
</file>